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483" w:rsidRPr="0016486E" w:rsidRDefault="008A7483" w:rsidP="00D55A8D">
      <w:pPr>
        <w:jc w:val="center"/>
        <w:rPr>
          <w:rFonts w:cs="Arial"/>
          <w:b/>
          <w:sz w:val="16"/>
          <w:szCs w:val="16"/>
          <w:lang w:val="pt-BR"/>
        </w:rPr>
      </w:pPr>
      <w:r w:rsidRPr="0016486E">
        <w:rPr>
          <w:rFonts w:cs="Arial"/>
          <w:b/>
          <w:sz w:val="16"/>
          <w:szCs w:val="16"/>
          <w:lang w:val="pt-BR"/>
        </w:rPr>
        <w:t>PARTE II</w:t>
      </w:r>
    </w:p>
    <w:p w:rsidR="008A7483" w:rsidRPr="0016486E" w:rsidRDefault="008A7483" w:rsidP="00D55A8D">
      <w:pPr>
        <w:jc w:val="center"/>
        <w:rPr>
          <w:rFonts w:cs="Arial"/>
          <w:b/>
          <w:sz w:val="16"/>
          <w:szCs w:val="16"/>
          <w:lang w:val="pt-BR"/>
        </w:rPr>
      </w:pPr>
      <w:r w:rsidRPr="0016486E">
        <w:rPr>
          <w:rFonts w:cs="Arial"/>
          <w:b/>
          <w:sz w:val="16"/>
          <w:szCs w:val="16"/>
          <w:lang w:val="pt-BR"/>
        </w:rPr>
        <w:t>MERCADO INTERMEDIADO</w:t>
      </w:r>
    </w:p>
    <w:p w:rsidR="008A7483" w:rsidRPr="0016486E" w:rsidRDefault="008A7483" w:rsidP="00D55A8D">
      <w:pPr>
        <w:jc w:val="center"/>
        <w:rPr>
          <w:rFonts w:cs="Arial"/>
          <w:sz w:val="16"/>
          <w:szCs w:val="16"/>
          <w:lang w:val="pt-BR"/>
        </w:rPr>
      </w:pPr>
    </w:p>
    <w:p w:rsidR="008A7483" w:rsidRPr="0016486E" w:rsidRDefault="008A7483" w:rsidP="00D55A8D">
      <w:pPr>
        <w:jc w:val="center"/>
        <w:rPr>
          <w:rFonts w:cs="Arial"/>
          <w:b/>
          <w:sz w:val="16"/>
          <w:szCs w:val="16"/>
          <w:lang w:val="pt-BR"/>
        </w:rPr>
      </w:pPr>
      <w:r w:rsidRPr="0016486E">
        <w:rPr>
          <w:rFonts w:cs="Arial"/>
          <w:b/>
          <w:sz w:val="16"/>
          <w:szCs w:val="16"/>
          <w:lang w:val="pt-BR"/>
        </w:rPr>
        <w:t>TÍTULO III</w:t>
      </w:r>
    </w:p>
    <w:p w:rsidR="008A7483" w:rsidRPr="0016486E" w:rsidRDefault="008A7483" w:rsidP="00641DBA">
      <w:pPr>
        <w:jc w:val="center"/>
        <w:rPr>
          <w:rFonts w:cs="Arial"/>
          <w:b/>
          <w:sz w:val="16"/>
          <w:szCs w:val="16"/>
        </w:rPr>
      </w:pPr>
      <w:r w:rsidRPr="0016486E">
        <w:rPr>
          <w:rFonts w:cs="Arial"/>
          <w:b/>
          <w:sz w:val="16"/>
          <w:szCs w:val="16"/>
        </w:rPr>
        <w:t>INSTRUCCIONES GENERALES RELATIVAS A LAS OPERACIONES DE LAS ENTIDADES ADMINISTRADORAS DE PENSIONES Y CESANTÍAS</w:t>
      </w:r>
    </w:p>
    <w:p w:rsidR="008A7483" w:rsidRPr="0016486E" w:rsidRDefault="008A7483" w:rsidP="00D55A8D">
      <w:pPr>
        <w:jc w:val="center"/>
        <w:rPr>
          <w:rFonts w:cs="Arial"/>
          <w:b/>
          <w:sz w:val="16"/>
          <w:szCs w:val="16"/>
        </w:rPr>
      </w:pPr>
    </w:p>
    <w:p w:rsidR="008A7483" w:rsidRPr="0016486E" w:rsidRDefault="008A7483" w:rsidP="00D55A8D">
      <w:pPr>
        <w:jc w:val="center"/>
        <w:rPr>
          <w:rFonts w:cs="Arial"/>
          <w:b/>
          <w:sz w:val="16"/>
          <w:szCs w:val="16"/>
        </w:rPr>
      </w:pPr>
      <w:r w:rsidRPr="0016486E">
        <w:rPr>
          <w:rFonts w:cs="Arial"/>
          <w:b/>
          <w:sz w:val="16"/>
          <w:szCs w:val="16"/>
        </w:rPr>
        <w:t>CAPÍTULO I: DISPOSICIONES ESPECIALES APLICABLES A LAS ENTIDADES ADMINISTRADORAS</w:t>
      </w:r>
    </w:p>
    <w:p w:rsidR="008A7483" w:rsidRPr="0016486E" w:rsidRDefault="008A7483" w:rsidP="00D55A8D">
      <w:pPr>
        <w:jc w:val="center"/>
        <w:rPr>
          <w:rFonts w:cs="Arial"/>
          <w:b/>
          <w:sz w:val="16"/>
          <w:szCs w:val="16"/>
        </w:rPr>
      </w:pPr>
      <w:r w:rsidRPr="0016486E">
        <w:rPr>
          <w:rFonts w:cs="Arial"/>
          <w:b/>
          <w:sz w:val="16"/>
          <w:szCs w:val="16"/>
        </w:rPr>
        <w:t>DEL SISTEMA GENERAL DE PENSIONES – SGP</w:t>
      </w:r>
    </w:p>
    <w:p w:rsidR="008A7483" w:rsidRPr="0016486E" w:rsidRDefault="008A7483" w:rsidP="00D55A8D">
      <w:pPr>
        <w:rPr>
          <w:rFonts w:cs="Arial"/>
          <w:b/>
          <w:sz w:val="16"/>
          <w:szCs w:val="16"/>
        </w:rPr>
      </w:pPr>
    </w:p>
    <w:p w:rsidR="008A7483" w:rsidRPr="0016486E" w:rsidRDefault="008A7483" w:rsidP="00D55A8D">
      <w:pPr>
        <w:rPr>
          <w:rFonts w:cs="Arial"/>
          <w:b/>
          <w:sz w:val="16"/>
          <w:szCs w:val="16"/>
        </w:rPr>
      </w:pPr>
    </w:p>
    <w:p w:rsidR="008A7483" w:rsidRPr="0016486E" w:rsidRDefault="008A7483" w:rsidP="00D55A8D">
      <w:pPr>
        <w:pStyle w:val="Encabezadodetabladecontenido1"/>
        <w:spacing w:before="0"/>
        <w:rPr>
          <w:rFonts w:ascii="Arial" w:hAnsi="Arial" w:cs="Arial"/>
          <w:color w:val="auto"/>
          <w:sz w:val="16"/>
          <w:szCs w:val="16"/>
        </w:rPr>
      </w:pPr>
      <w:r w:rsidRPr="0016486E">
        <w:rPr>
          <w:rFonts w:ascii="Arial" w:hAnsi="Arial" w:cs="Arial"/>
          <w:color w:val="auto"/>
          <w:sz w:val="16"/>
          <w:szCs w:val="16"/>
          <w:lang w:val="es-ES"/>
        </w:rPr>
        <w:t>CONTENIDO</w:t>
      </w:r>
    </w:p>
    <w:p w:rsidR="00B91DF0" w:rsidRPr="0016486E" w:rsidRDefault="008A7483">
      <w:pPr>
        <w:pStyle w:val="TDC1"/>
        <w:rPr>
          <w:rFonts w:eastAsia="MS Mincho" w:cs="Arial"/>
          <w:b w:val="0"/>
          <w:bCs w:val="0"/>
          <w:noProof/>
          <w:szCs w:val="16"/>
          <w:lang w:eastAsia="ja-JP"/>
        </w:rPr>
      </w:pPr>
      <w:r w:rsidRPr="0016486E">
        <w:rPr>
          <w:rFonts w:cs="Arial"/>
          <w:szCs w:val="16"/>
        </w:rPr>
        <w:fldChar w:fldCharType="begin"/>
      </w:r>
      <w:r w:rsidRPr="0016486E">
        <w:rPr>
          <w:rFonts w:cs="Arial"/>
          <w:szCs w:val="16"/>
        </w:rPr>
        <w:instrText xml:space="preserve"> </w:instrText>
      </w:r>
      <w:r w:rsidR="006A1BA6" w:rsidRPr="0016486E">
        <w:rPr>
          <w:rFonts w:cs="Arial"/>
          <w:szCs w:val="16"/>
        </w:rPr>
        <w:instrText>TOC</w:instrText>
      </w:r>
      <w:r w:rsidRPr="0016486E">
        <w:rPr>
          <w:rFonts w:cs="Arial"/>
          <w:szCs w:val="16"/>
        </w:rPr>
        <w:instrText xml:space="preserve"> \o "1-2" \h \z \u </w:instrText>
      </w:r>
      <w:r w:rsidRPr="0016486E">
        <w:rPr>
          <w:rFonts w:cs="Arial"/>
          <w:szCs w:val="16"/>
        </w:rPr>
        <w:fldChar w:fldCharType="separate"/>
      </w:r>
      <w:r w:rsidR="00B91DF0" w:rsidRPr="0016486E">
        <w:rPr>
          <w:rFonts w:cs="Arial"/>
          <w:noProof/>
          <w:szCs w:val="16"/>
        </w:rPr>
        <w:t>1. VINCULACIÓN A LAS ENTIDADES ADMINISTRADORAS DEL SGP</w:t>
      </w:r>
    </w:p>
    <w:p w:rsidR="00B91DF0" w:rsidRPr="0016486E" w:rsidRDefault="00B91DF0">
      <w:pPr>
        <w:pStyle w:val="TDC1"/>
        <w:rPr>
          <w:rFonts w:eastAsia="MS Mincho" w:cs="Arial"/>
          <w:b w:val="0"/>
          <w:bCs w:val="0"/>
          <w:noProof/>
          <w:szCs w:val="16"/>
          <w:lang w:eastAsia="ja-JP"/>
        </w:rPr>
      </w:pPr>
      <w:r w:rsidRPr="0016486E">
        <w:rPr>
          <w:rFonts w:cs="Arial"/>
          <w:noProof/>
          <w:szCs w:val="16"/>
        </w:rPr>
        <w:t>2. CÁLCULO DE RESERVAS</w:t>
      </w:r>
    </w:p>
    <w:p w:rsidR="00B91DF0" w:rsidRPr="0016486E" w:rsidRDefault="00B91DF0">
      <w:pPr>
        <w:pStyle w:val="TDC1"/>
        <w:rPr>
          <w:rFonts w:eastAsia="MS Mincho" w:cs="Arial"/>
          <w:b w:val="0"/>
          <w:bCs w:val="0"/>
          <w:noProof/>
          <w:szCs w:val="16"/>
          <w:lang w:eastAsia="ja-JP"/>
        </w:rPr>
      </w:pPr>
      <w:r w:rsidRPr="0016486E">
        <w:rPr>
          <w:rFonts w:cs="Arial"/>
          <w:caps/>
          <w:noProof/>
          <w:szCs w:val="16"/>
        </w:rPr>
        <w:t>3. PROCEDIMIENTO PARA EL TRASLADO DE AFILIADOS ENTRE REGÍMENES PENSIONALES Y ENTRE LAS DIFERENTES ADMINISTRADORAS DEL SGP</w:t>
      </w:r>
    </w:p>
    <w:p w:rsidR="00B91DF0" w:rsidRPr="0016486E" w:rsidRDefault="00B91DF0">
      <w:pPr>
        <w:pStyle w:val="TDC2"/>
        <w:rPr>
          <w:rFonts w:eastAsia="MS Mincho" w:cs="Arial"/>
          <w:iCs w:val="0"/>
          <w:noProof/>
          <w:szCs w:val="16"/>
          <w:lang w:eastAsia="ja-JP"/>
        </w:rPr>
      </w:pPr>
      <w:r w:rsidRPr="0016486E">
        <w:rPr>
          <w:rFonts w:cs="Arial"/>
          <w:noProof/>
          <w:szCs w:val="16"/>
        </w:rPr>
        <w:t>3.1. Términos para los traslados</w:t>
      </w:r>
    </w:p>
    <w:p w:rsidR="00B91DF0" w:rsidRPr="0016486E" w:rsidRDefault="00B91DF0">
      <w:pPr>
        <w:pStyle w:val="TDC2"/>
        <w:rPr>
          <w:rFonts w:eastAsia="MS Mincho" w:cs="Arial"/>
          <w:iCs w:val="0"/>
          <w:noProof/>
          <w:szCs w:val="16"/>
          <w:lang w:eastAsia="ja-JP"/>
        </w:rPr>
      </w:pPr>
      <w:r w:rsidRPr="0016486E">
        <w:rPr>
          <w:rFonts w:cs="Arial"/>
          <w:noProof/>
          <w:szCs w:val="16"/>
        </w:rPr>
        <w:t>3.2. Diligenciamiento del formulario</w:t>
      </w:r>
    </w:p>
    <w:p w:rsidR="00B91DF0" w:rsidRPr="0016486E" w:rsidRDefault="00B91DF0">
      <w:pPr>
        <w:pStyle w:val="TDC2"/>
        <w:rPr>
          <w:rFonts w:eastAsia="MS Mincho" w:cs="Arial"/>
          <w:iCs w:val="0"/>
          <w:noProof/>
          <w:szCs w:val="16"/>
          <w:lang w:eastAsia="ja-JP"/>
        </w:rPr>
      </w:pPr>
      <w:r w:rsidRPr="0016486E">
        <w:rPr>
          <w:rFonts w:cs="Arial"/>
          <w:noProof/>
          <w:szCs w:val="16"/>
        </w:rPr>
        <w:t>3.3. Solicitudes de retracto</w:t>
      </w:r>
    </w:p>
    <w:p w:rsidR="00B91DF0" w:rsidRPr="0016486E" w:rsidRDefault="00B91DF0">
      <w:pPr>
        <w:pStyle w:val="TDC2"/>
        <w:rPr>
          <w:rFonts w:eastAsia="MS Mincho" w:cs="Arial"/>
          <w:iCs w:val="0"/>
          <w:noProof/>
          <w:szCs w:val="16"/>
          <w:lang w:eastAsia="ja-JP"/>
        </w:rPr>
      </w:pPr>
      <w:r w:rsidRPr="0016486E">
        <w:rPr>
          <w:rFonts w:cs="Arial"/>
          <w:noProof/>
          <w:szCs w:val="16"/>
        </w:rPr>
        <w:t>3.4. Reporte de solicitudes de traslado a la administradora anterior</w:t>
      </w:r>
    </w:p>
    <w:p w:rsidR="00B91DF0" w:rsidRPr="0016486E" w:rsidRDefault="00B91DF0">
      <w:pPr>
        <w:pStyle w:val="TDC2"/>
        <w:rPr>
          <w:rFonts w:eastAsia="MS Mincho" w:cs="Arial"/>
          <w:iCs w:val="0"/>
          <w:noProof/>
          <w:szCs w:val="16"/>
          <w:lang w:eastAsia="ja-JP"/>
        </w:rPr>
      </w:pPr>
      <w:r w:rsidRPr="0016486E">
        <w:rPr>
          <w:rFonts w:cs="Arial"/>
          <w:noProof/>
          <w:szCs w:val="16"/>
        </w:rPr>
        <w:t>3.5. Informe de solicitudes de traslado</w:t>
      </w:r>
    </w:p>
    <w:p w:rsidR="00B91DF0" w:rsidRPr="0016486E" w:rsidRDefault="00B91DF0">
      <w:pPr>
        <w:pStyle w:val="TDC2"/>
        <w:rPr>
          <w:rFonts w:eastAsia="MS Mincho" w:cs="Arial"/>
          <w:iCs w:val="0"/>
          <w:noProof/>
          <w:szCs w:val="16"/>
          <w:lang w:eastAsia="ja-JP"/>
        </w:rPr>
      </w:pPr>
      <w:r w:rsidRPr="0016486E">
        <w:rPr>
          <w:rFonts w:cs="Arial"/>
          <w:noProof/>
          <w:szCs w:val="16"/>
        </w:rPr>
        <w:t>3.6. Causales de rechazo del traslado</w:t>
      </w:r>
    </w:p>
    <w:p w:rsidR="00B91DF0" w:rsidRPr="0016486E" w:rsidRDefault="00B91DF0">
      <w:pPr>
        <w:pStyle w:val="TDC2"/>
        <w:rPr>
          <w:rFonts w:eastAsia="MS Mincho" w:cs="Arial"/>
          <w:iCs w:val="0"/>
          <w:noProof/>
          <w:szCs w:val="16"/>
          <w:lang w:eastAsia="ja-JP"/>
        </w:rPr>
      </w:pPr>
      <w:r w:rsidRPr="0016486E">
        <w:rPr>
          <w:rFonts w:cs="Arial"/>
          <w:noProof/>
          <w:szCs w:val="16"/>
        </w:rPr>
        <w:t>3.7. Traslado de la información y de los saldos del afiliado a la nueva entidad administradora</w:t>
      </w:r>
    </w:p>
    <w:p w:rsidR="00B91DF0" w:rsidRPr="0016486E" w:rsidRDefault="00B91DF0">
      <w:pPr>
        <w:pStyle w:val="TDC2"/>
        <w:rPr>
          <w:rFonts w:eastAsia="MS Mincho" w:cs="Arial"/>
          <w:iCs w:val="0"/>
          <w:noProof/>
          <w:szCs w:val="16"/>
          <w:lang w:eastAsia="ja-JP"/>
        </w:rPr>
      </w:pPr>
      <w:r w:rsidRPr="0016486E">
        <w:rPr>
          <w:rFonts w:cs="Arial"/>
          <w:noProof/>
          <w:szCs w:val="16"/>
        </w:rPr>
        <w:t>3.8. Efectividad del traslado ante la nueva administradora</w:t>
      </w:r>
    </w:p>
    <w:p w:rsidR="00B91DF0" w:rsidRPr="0016486E" w:rsidRDefault="00B91DF0">
      <w:pPr>
        <w:pStyle w:val="TDC2"/>
        <w:rPr>
          <w:rFonts w:eastAsia="MS Mincho" w:cs="Arial"/>
          <w:iCs w:val="0"/>
          <w:noProof/>
          <w:szCs w:val="16"/>
          <w:lang w:eastAsia="ja-JP"/>
        </w:rPr>
      </w:pPr>
      <w:r w:rsidRPr="0016486E">
        <w:rPr>
          <w:rFonts w:cs="Arial"/>
          <w:noProof/>
          <w:szCs w:val="16"/>
        </w:rPr>
        <w:t>3.9. Primera cotización a la nueva administradora</w:t>
      </w:r>
    </w:p>
    <w:p w:rsidR="00B91DF0" w:rsidRPr="0016486E" w:rsidRDefault="00B91DF0">
      <w:pPr>
        <w:pStyle w:val="TDC2"/>
        <w:rPr>
          <w:rFonts w:eastAsia="MS Mincho" w:cs="Arial"/>
          <w:iCs w:val="0"/>
          <w:noProof/>
          <w:szCs w:val="16"/>
          <w:lang w:eastAsia="ja-JP"/>
        </w:rPr>
      </w:pPr>
      <w:r w:rsidRPr="0016486E">
        <w:rPr>
          <w:rFonts w:cs="Arial"/>
          <w:noProof/>
          <w:szCs w:val="16"/>
        </w:rPr>
        <w:t>3.10. Documentos soporte de las solicitudes efectuadas</w:t>
      </w:r>
    </w:p>
    <w:p w:rsidR="00B91DF0" w:rsidRPr="0016486E" w:rsidRDefault="00B91DF0">
      <w:pPr>
        <w:pStyle w:val="TDC2"/>
        <w:rPr>
          <w:rFonts w:eastAsia="MS Mincho" w:cs="Arial"/>
          <w:iCs w:val="0"/>
          <w:noProof/>
          <w:szCs w:val="16"/>
          <w:lang w:eastAsia="ja-JP"/>
        </w:rPr>
      </w:pPr>
      <w:r w:rsidRPr="0016486E">
        <w:rPr>
          <w:rFonts w:cs="Arial"/>
          <w:noProof/>
          <w:szCs w:val="16"/>
        </w:rPr>
        <w:t>3.11. Realización de convenios particulares</w:t>
      </w:r>
    </w:p>
    <w:p w:rsidR="00B91DF0" w:rsidRPr="0016486E" w:rsidRDefault="00B91DF0">
      <w:pPr>
        <w:pStyle w:val="TDC2"/>
        <w:rPr>
          <w:rFonts w:eastAsia="MS Mincho" w:cs="Arial"/>
          <w:iCs w:val="0"/>
          <w:noProof/>
          <w:szCs w:val="16"/>
          <w:lang w:eastAsia="ja-JP"/>
        </w:rPr>
      </w:pPr>
      <w:r w:rsidRPr="0016486E">
        <w:rPr>
          <w:rFonts w:cs="Arial"/>
          <w:noProof/>
          <w:szCs w:val="16"/>
        </w:rPr>
        <w:t>3.12. Rentabilidad en el traslado de recursos del régimen solidario de prima media con prestación definida al régimen de ahorro individual con solidaridad</w:t>
      </w:r>
    </w:p>
    <w:p w:rsidR="00B91DF0" w:rsidRPr="0016486E" w:rsidRDefault="00B91DF0">
      <w:pPr>
        <w:pStyle w:val="TDC1"/>
        <w:rPr>
          <w:rFonts w:eastAsia="MS Mincho" w:cs="Arial"/>
          <w:b w:val="0"/>
          <w:bCs w:val="0"/>
          <w:noProof/>
          <w:szCs w:val="16"/>
          <w:lang w:eastAsia="ja-JP"/>
        </w:rPr>
      </w:pPr>
      <w:r w:rsidRPr="0016486E">
        <w:rPr>
          <w:rFonts w:cs="Arial"/>
          <w:caps/>
          <w:noProof/>
          <w:szCs w:val="16"/>
        </w:rPr>
        <w:t>4. TRASLADO DE RÉGIMEN PENSIONAL EN LOS TÉRMINOS DE LA SENTENCIA SU 062 DE 2010 DE LA CORTE CONSTITUCIONAL</w:t>
      </w:r>
      <w:r w:rsidRPr="0016486E">
        <w:rPr>
          <w:rFonts w:cs="Arial"/>
          <w:b w:val="0"/>
          <w:caps/>
          <w:noProof/>
          <w:szCs w:val="16"/>
        </w:rPr>
        <w:t xml:space="preserve"> </w:t>
      </w:r>
      <w:r w:rsidRPr="0016486E">
        <w:rPr>
          <w:rFonts w:cs="Arial"/>
          <w:caps/>
          <w:noProof/>
          <w:szCs w:val="16"/>
        </w:rPr>
        <w:t>PARA EL CASO DE AFILIADOS BENEFICIARIOS DEL RÉGIMEN DE TRANSICIÓN SIN EL CUMPLIMIENTO DE LOS TÉRMINOS LEGALES DE TRASLADO</w:t>
      </w:r>
    </w:p>
    <w:p w:rsidR="00B91DF0" w:rsidRPr="0016486E" w:rsidRDefault="00B91DF0">
      <w:pPr>
        <w:pStyle w:val="TDC2"/>
        <w:rPr>
          <w:rFonts w:eastAsia="MS Mincho" w:cs="Arial"/>
          <w:iCs w:val="0"/>
          <w:noProof/>
          <w:szCs w:val="16"/>
          <w:lang w:eastAsia="ja-JP"/>
        </w:rPr>
      </w:pPr>
      <w:r w:rsidRPr="0016486E">
        <w:rPr>
          <w:rFonts w:cs="Arial"/>
          <w:noProof/>
          <w:szCs w:val="16"/>
        </w:rPr>
        <w:t>4.1. Solicitud de aplicación de la Sentencia SU 062 de 2010 y diligenciamiento del formulario de traslado</w:t>
      </w:r>
    </w:p>
    <w:p w:rsidR="00B91DF0" w:rsidRPr="0016486E" w:rsidRDefault="00B91DF0">
      <w:pPr>
        <w:pStyle w:val="TDC2"/>
        <w:rPr>
          <w:rFonts w:eastAsia="MS Mincho" w:cs="Arial"/>
          <w:iCs w:val="0"/>
          <w:noProof/>
          <w:szCs w:val="16"/>
          <w:lang w:eastAsia="ja-JP"/>
        </w:rPr>
      </w:pPr>
      <w:r w:rsidRPr="0016486E">
        <w:rPr>
          <w:rFonts w:cs="Arial"/>
          <w:noProof/>
          <w:szCs w:val="16"/>
        </w:rPr>
        <w:t>4.2. Reporte de solicitudes de traslado</w:t>
      </w:r>
    </w:p>
    <w:p w:rsidR="00B91DF0" w:rsidRPr="0016486E" w:rsidRDefault="00B91DF0">
      <w:pPr>
        <w:pStyle w:val="TDC2"/>
        <w:rPr>
          <w:rFonts w:eastAsia="MS Mincho" w:cs="Arial"/>
          <w:iCs w:val="0"/>
          <w:noProof/>
          <w:szCs w:val="16"/>
          <w:lang w:eastAsia="ja-JP"/>
        </w:rPr>
      </w:pPr>
      <w:r w:rsidRPr="0016486E">
        <w:rPr>
          <w:rFonts w:cs="Arial"/>
          <w:noProof/>
          <w:szCs w:val="16"/>
        </w:rPr>
        <w:t>4.3. Requisitos a verificar</w:t>
      </w:r>
    </w:p>
    <w:p w:rsidR="00B91DF0" w:rsidRPr="0016486E" w:rsidRDefault="00B91DF0">
      <w:pPr>
        <w:pStyle w:val="TDC2"/>
        <w:rPr>
          <w:rFonts w:eastAsia="MS Mincho" w:cs="Arial"/>
          <w:iCs w:val="0"/>
          <w:noProof/>
          <w:szCs w:val="16"/>
          <w:lang w:eastAsia="ja-JP"/>
        </w:rPr>
      </w:pPr>
      <w:r w:rsidRPr="0016486E">
        <w:rPr>
          <w:rFonts w:cs="Arial"/>
          <w:noProof/>
          <w:szCs w:val="16"/>
        </w:rPr>
        <w:t>4.4. Verificación del cumplimiento de los requisitos</w:t>
      </w:r>
    </w:p>
    <w:p w:rsidR="00B91DF0" w:rsidRPr="0016486E" w:rsidRDefault="00B91DF0">
      <w:pPr>
        <w:pStyle w:val="TDC2"/>
        <w:rPr>
          <w:rFonts w:eastAsia="MS Mincho" w:cs="Arial"/>
          <w:iCs w:val="0"/>
          <w:noProof/>
          <w:szCs w:val="16"/>
          <w:lang w:eastAsia="ja-JP"/>
        </w:rPr>
      </w:pPr>
      <w:r w:rsidRPr="0016486E">
        <w:rPr>
          <w:rFonts w:cs="Arial"/>
          <w:noProof/>
          <w:szCs w:val="16"/>
        </w:rPr>
        <w:t>4.5. Efectividad del traslado</w:t>
      </w:r>
    </w:p>
    <w:p w:rsidR="00B91DF0" w:rsidRPr="0016486E" w:rsidRDefault="00B91DF0">
      <w:pPr>
        <w:pStyle w:val="TDC2"/>
        <w:rPr>
          <w:rFonts w:eastAsia="MS Mincho" w:cs="Arial"/>
          <w:iCs w:val="0"/>
          <w:noProof/>
          <w:szCs w:val="16"/>
          <w:lang w:eastAsia="ja-JP"/>
        </w:rPr>
      </w:pPr>
      <w:r w:rsidRPr="0016486E">
        <w:rPr>
          <w:rFonts w:cs="Arial"/>
          <w:noProof/>
          <w:szCs w:val="16"/>
        </w:rPr>
        <w:t>4.6. Marcación de la base de datos de Colpensiones - antes ISS-</w:t>
      </w:r>
    </w:p>
    <w:p w:rsidR="00B91DF0" w:rsidRPr="0016486E" w:rsidRDefault="00B91DF0">
      <w:pPr>
        <w:pStyle w:val="TDC2"/>
        <w:rPr>
          <w:rFonts w:eastAsia="MS Mincho" w:cs="Arial"/>
          <w:iCs w:val="0"/>
          <w:noProof/>
          <w:szCs w:val="16"/>
          <w:lang w:eastAsia="ja-JP"/>
        </w:rPr>
      </w:pPr>
      <w:r w:rsidRPr="0016486E">
        <w:rPr>
          <w:rFonts w:cs="Arial"/>
          <w:noProof/>
          <w:szCs w:val="16"/>
        </w:rPr>
        <w:t>4.7. Aplicación del procedimiento en otras administradoras del RPMPD</w:t>
      </w:r>
    </w:p>
    <w:p w:rsidR="00B91DF0" w:rsidRPr="0016486E" w:rsidRDefault="00B91DF0">
      <w:pPr>
        <w:pStyle w:val="TDC1"/>
        <w:rPr>
          <w:rFonts w:eastAsia="MS Mincho" w:cs="Arial"/>
          <w:b w:val="0"/>
          <w:bCs w:val="0"/>
          <w:noProof/>
          <w:szCs w:val="16"/>
          <w:lang w:eastAsia="ja-JP"/>
        </w:rPr>
      </w:pPr>
      <w:r w:rsidRPr="0016486E">
        <w:rPr>
          <w:rFonts w:cs="Arial"/>
          <w:noProof/>
          <w:szCs w:val="16"/>
        </w:rPr>
        <w:t>5. TRASLADO DE RECURSOS E INTERCAMBIO DE INFORMACIÓN ENTRE ENTIDADES ADMINISTRADORAS DEL SISTEMA GENERAL DE PENSIONES (SGP) Y LA ENTIDAD ADMINISTRADORA DEL SERVICIO SOCIAL COMPLEMENTARIO DE BENEFICIOS ECONÓMICOS PERIÓDICOS – BEPS</w:t>
      </w:r>
    </w:p>
    <w:p w:rsidR="00B91DF0" w:rsidRPr="0016486E" w:rsidRDefault="00B91DF0">
      <w:pPr>
        <w:pStyle w:val="TDC2"/>
        <w:rPr>
          <w:rFonts w:eastAsia="MS Mincho" w:cs="Arial"/>
          <w:iCs w:val="0"/>
          <w:noProof/>
          <w:szCs w:val="16"/>
          <w:lang w:eastAsia="ja-JP"/>
        </w:rPr>
      </w:pPr>
      <w:r w:rsidRPr="0016486E">
        <w:rPr>
          <w:rFonts w:cs="Arial"/>
          <w:noProof/>
          <w:szCs w:val="16"/>
        </w:rPr>
        <w:t>5.1 Reporte de solicitudes de traslado de recursos</w:t>
      </w:r>
    </w:p>
    <w:p w:rsidR="00B91DF0" w:rsidRPr="0016486E" w:rsidRDefault="00B91DF0">
      <w:pPr>
        <w:pStyle w:val="TDC2"/>
        <w:rPr>
          <w:rFonts w:eastAsia="MS Mincho" w:cs="Arial"/>
          <w:iCs w:val="0"/>
          <w:noProof/>
          <w:szCs w:val="16"/>
          <w:lang w:eastAsia="ja-JP"/>
        </w:rPr>
      </w:pPr>
      <w:r w:rsidRPr="0016486E">
        <w:rPr>
          <w:rFonts w:cs="Arial"/>
          <w:noProof/>
          <w:szCs w:val="16"/>
        </w:rPr>
        <w:t>5.2 Informe sobre la evaluación de las solicitudes de traslado por parte de las administradoras</w:t>
      </w:r>
    </w:p>
    <w:p w:rsidR="00B91DF0" w:rsidRPr="0016486E" w:rsidRDefault="00B91DF0">
      <w:pPr>
        <w:pStyle w:val="TDC2"/>
        <w:rPr>
          <w:rFonts w:eastAsia="MS Mincho" w:cs="Arial"/>
          <w:iCs w:val="0"/>
          <w:noProof/>
          <w:szCs w:val="16"/>
          <w:lang w:eastAsia="ja-JP"/>
        </w:rPr>
      </w:pPr>
      <w:r w:rsidRPr="0016486E">
        <w:rPr>
          <w:rFonts w:cs="Arial"/>
          <w:noProof/>
          <w:szCs w:val="16"/>
        </w:rPr>
        <w:t>5.3. Traslado de recursos e información entre administradoras</w:t>
      </w:r>
    </w:p>
    <w:p w:rsidR="00B91DF0" w:rsidRPr="0016486E" w:rsidRDefault="00B91DF0">
      <w:pPr>
        <w:pStyle w:val="TDC2"/>
        <w:rPr>
          <w:rFonts w:eastAsia="MS Mincho" w:cs="Arial"/>
          <w:iCs w:val="0"/>
          <w:noProof/>
          <w:szCs w:val="16"/>
          <w:lang w:eastAsia="ja-JP"/>
        </w:rPr>
      </w:pPr>
      <w:r w:rsidRPr="0016486E">
        <w:rPr>
          <w:rFonts w:cs="Arial"/>
          <w:noProof/>
          <w:szCs w:val="16"/>
        </w:rPr>
        <w:t>5.4. Intercambio de información</w:t>
      </w:r>
    </w:p>
    <w:p w:rsidR="00B91DF0" w:rsidRPr="0016486E" w:rsidRDefault="00B91DF0">
      <w:pPr>
        <w:pStyle w:val="TDC1"/>
        <w:rPr>
          <w:rFonts w:eastAsia="MS Mincho" w:cs="Arial"/>
          <w:b w:val="0"/>
          <w:bCs w:val="0"/>
          <w:noProof/>
          <w:szCs w:val="16"/>
          <w:lang w:eastAsia="ja-JP"/>
        </w:rPr>
      </w:pPr>
      <w:r w:rsidRPr="0016486E">
        <w:rPr>
          <w:rFonts w:cs="Arial"/>
          <w:caps/>
          <w:noProof/>
          <w:szCs w:val="16"/>
        </w:rPr>
        <w:t>6. MÚLTIPLE VINCULACIÓN</w:t>
      </w:r>
    </w:p>
    <w:p w:rsidR="00B91DF0" w:rsidRPr="0016486E" w:rsidRDefault="00B91DF0">
      <w:pPr>
        <w:pStyle w:val="TDC2"/>
        <w:rPr>
          <w:rFonts w:eastAsia="MS Mincho" w:cs="Arial"/>
          <w:iCs w:val="0"/>
          <w:noProof/>
          <w:szCs w:val="16"/>
          <w:lang w:eastAsia="ja-JP"/>
        </w:rPr>
      </w:pPr>
      <w:r w:rsidRPr="0016486E">
        <w:rPr>
          <w:rFonts w:cs="Arial"/>
          <w:noProof/>
          <w:szCs w:val="16"/>
        </w:rPr>
        <w:t>6.1. Casos de múltiple vinculación</w:t>
      </w:r>
    </w:p>
    <w:p w:rsidR="00B91DF0" w:rsidRPr="0016486E" w:rsidRDefault="00B91DF0">
      <w:pPr>
        <w:pStyle w:val="TDC2"/>
        <w:rPr>
          <w:rFonts w:eastAsia="MS Mincho" w:cs="Arial"/>
          <w:iCs w:val="0"/>
          <w:noProof/>
          <w:szCs w:val="16"/>
          <w:lang w:eastAsia="ja-JP"/>
        </w:rPr>
      </w:pPr>
      <w:r w:rsidRPr="0016486E">
        <w:rPr>
          <w:rFonts w:cs="Arial"/>
          <w:noProof/>
          <w:szCs w:val="16"/>
        </w:rPr>
        <w:t>6.2.  Cruce de información entre administradoras del SGP</w:t>
      </w:r>
    </w:p>
    <w:p w:rsidR="0016486E" w:rsidRPr="0016486E" w:rsidRDefault="00B91DF0">
      <w:pPr>
        <w:pStyle w:val="TDC2"/>
        <w:rPr>
          <w:rFonts w:cs="Arial"/>
          <w:noProof/>
          <w:szCs w:val="16"/>
        </w:rPr>
      </w:pPr>
      <w:r w:rsidRPr="0016486E">
        <w:rPr>
          <w:rFonts w:cs="Arial"/>
          <w:noProof/>
          <w:szCs w:val="16"/>
        </w:rPr>
        <w:t>6.3. Deber de informar al trabajador y al empleador</w:t>
      </w:r>
    </w:p>
    <w:p w:rsidR="00B91DF0" w:rsidRPr="0016486E" w:rsidRDefault="00B91DF0">
      <w:pPr>
        <w:pStyle w:val="TDC2"/>
        <w:rPr>
          <w:rFonts w:eastAsia="MS Mincho" w:cs="Arial"/>
          <w:iCs w:val="0"/>
          <w:noProof/>
          <w:szCs w:val="16"/>
          <w:lang w:eastAsia="ja-JP"/>
        </w:rPr>
      </w:pPr>
      <w:r w:rsidRPr="0016486E">
        <w:rPr>
          <w:rFonts w:cs="Arial"/>
          <w:noProof/>
          <w:szCs w:val="16"/>
        </w:rPr>
        <w:t>6.4. Otros casos de múltiple vinculación</w:t>
      </w:r>
    </w:p>
    <w:p w:rsidR="00B91DF0" w:rsidRPr="0016486E" w:rsidRDefault="00B91DF0">
      <w:pPr>
        <w:pStyle w:val="TDC2"/>
        <w:rPr>
          <w:rFonts w:eastAsia="MS Mincho" w:cs="Arial"/>
          <w:iCs w:val="0"/>
          <w:noProof/>
          <w:szCs w:val="16"/>
          <w:lang w:eastAsia="ja-JP"/>
        </w:rPr>
      </w:pPr>
      <w:r w:rsidRPr="0016486E">
        <w:rPr>
          <w:rFonts w:cs="Arial"/>
          <w:noProof/>
          <w:szCs w:val="16"/>
        </w:rPr>
        <w:t>6.5. Cumplimiento de los términos legales para el traslado de afiliados</w:t>
      </w:r>
    </w:p>
    <w:p w:rsidR="00B91DF0" w:rsidRPr="0016486E" w:rsidRDefault="00B91DF0">
      <w:pPr>
        <w:pStyle w:val="TDC2"/>
        <w:rPr>
          <w:rFonts w:eastAsia="MS Mincho" w:cs="Arial"/>
          <w:iCs w:val="0"/>
          <w:noProof/>
          <w:szCs w:val="16"/>
          <w:lang w:eastAsia="ja-JP"/>
        </w:rPr>
      </w:pPr>
      <w:r w:rsidRPr="0016486E">
        <w:rPr>
          <w:rFonts w:cs="Arial"/>
          <w:noProof/>
          <w:szCs w:val="16"/>
        </w:rPr>
        <w:t>6.6. Solicitudes de reconocimiento de prestaciones</w:t>
      </w:r>
    </w:p>
    <w:p w:rsidR="00B91DF0" w:rsidRPr="0016486E" w:rsidRDefault="00B91DF0">
      <w:pPr>
        <w:pStyle w:val="TDC1"/>
        <w:rPr>
          <w:rFonts w:eastAsia="MS Mincho" w:cs="Arial"/>
          <w:b w:val="0"/>
          <w:bCs w:val="0"/>
          <w:noProof/>
          <w:szCs w:val="16"/>
          <w:lang w:eastAsia="ja-JP"/>
        </w:rPr>
      </w:pPr>
      <w:r w:rsidRPr="0016486E">
        <w:rPr>
          <w:rFonts w:cs="Arial"/>
          <w:noProof/>
          <w:szCs w:val="16"/>
        </w:rPr>
        <w:t>7. DECLARACIÓN DE INGRESOS PERCIBIDOS</w:t>
      </w:r>
    </w:p>
    <w:p w:rsidR="00B91DF0" w:rsidRPr="0016486E" w:rsidRDefault="00B91DF0">
      <w:pPr>
        <w:pStyle w:val="TDC1"/>
        <w:rPr>
          <w:rFonts w:eastAsia="MS Mincho" w:cs="Arial"/>
          <w:b w:val="0"/>
          <w:bCs w:val="0"/>
          <w:noProof/>
          <w:szCs w:val="16"/>
          <w:lang w:eastAsia="ja-JP"/>
        </w:rPr>
      </w:pPr>
      <w:r w:rsidRPr="0016486E">
        <w:rPr>
          <w:rFonts w:cs="Arial"/>
          <w:noProof/>
          <w:szCs w:val="16"/>
        </w:rPr>
        <w:t>8. REGLAS SOBRE RECONOCIMIENTO Y PAGO DE PENSIONES</w:t>
      </w:r>
    </w:p>
    <w:p w:rsidR="00B91DF0" w:rsidRPr="0016486E" w:rsidRDefault="00B91DF0">
      <w:pPr>
        <w:pStyle w:val="TDC1"/>
        <w:rPr>
          <w:rFonts w:eastAsia="MS Mincho" w:cs="Arial"/>
          <w:b w:val="0"/>
          <w:bCs w:val="0"/>
          <w:noProof/>
          <w:szCs w:val="16"/>
          <w:lang w:eastAsia="ja-JP"/>
        </w:rPr>
      </w:pPr>
      <w:r w:rsidRPr="0016486E">
        <w:rPr>
          <w:rFonts w:cs="Arial"/>
          <w:caps/>
          <w:noProof/>
          <w:szCs w:val="16"/>
        </w:rPr>
        <w:t>9. REMISIÓN DE EXTRACTOS POR PARTE DE LAS ENTIDADES ADMINISTRADORAS DEL RÉGIMEN SOLIDARIO DE PRIMA MEDIA CON PRESTACIÓN DEFINIDA</w:t>
      </w:r>
    </w:p>
    <w:p w:rsidR="00B91DF0" w:rsidRPr="0016486E" w:rsidRDefault="00B91DF0">
      <w:pPr>
        <w:pStyle w:val="TDC1"/>
        <w:rPr>
          <w:rFonts w:eastAsia="MS Mincho" w:cs="Arial"/>
          <w:b w:val="0"/>
          <w:bCs w:val="0"/>
          <w:noProof/>
          <w:szCs w:val="16"/>
          <w:lang w:eastAsia="ja-JP"/>
        </w:rPr>
      </w:pPr>
      <w:r w:rsidRPr="0016486E">
        <w:rPr>
          <w:rFonts w:cs="Arial"/>
          <w:caps/>
          <w:noProof/>
          <w:szCs w:val="16"/>
        </w:rPr>
        <w:t>10. PAGO DE MESADAS PENSIONALES MEDIANTE CONSIGNACIÓN EN CUENTA CORRIENTE O DE AHORROS</w:t>
      </w:r>
    </w:p>
    <w:p w:rsidR="00B91DF0" w:rsidRPr="0016486E" w:rsidRDefault="00B91DF0">
      <w:pPr>
        <w:pStyle w:val="TDC1"/>
        <w:rPr>
          <w:rFonts w:eastAsia="MS Mincho" w:cs="Arial"/>
          <w:b w:val="0"/>
          <w:bCs w:val="0"/>
          <w:noProof/>
          <w:szCs w:val="16"/>
          <w:lang w:eastAsia="ja-JP"/>
        </w:rPr>
      </w:pPr>
      <w:r w:rsidRPr="0016486E">
        <w:rPr>
          <w:rFonts w:cs="Arial"/>
          <w:caps/>
          <w:noProof/>
          <w:szCs w:val="16"/>
        </w:rPr>
        <w:t>11. PUBLICACIÓN DE INFORMACIÓN AL AFILIADO</w:t>
      </w:r>
    </w:p>
    <w:p w:rsidR="00B91DF0" w:rsidRPr="0016486E" w:rsidRDefault="00B91DF0">
      <w:pPr>
        <w:pStyle w:val="TDC1"/>
        <w:rPr>
          <w:rFonts w:eastAsia="MS Mincho" w:cs="Arial"/>
          <w:b w:val="0"/>
          <w:bCs w:val="0"/>
          <w:noProof/>
          <w:szCs w:val="16"/>
          <w:lang w:eastAsia="ja-JP"/>
        </w:rPr>
      </w:pPr>
      <w:r w:rsidRPr="0016486E">
        <w:rPr>
          <w:rFonts w:cs="Arial"/>
          <w:caps/>
          <w:noProof/>
          <w:szCs w:val="16"/>
        </w:rPr>
        <w:t>12. EDUCACIÓN FINANCIERA DEL SISTEMA GENERAL DE PENSIONES</w:t>
      </w:r>
    </w:p>
    <w:p w:rsidR="008A7483" w:rsidRPr="0016486E" w:rsidRDefault="008A7483">
      <w:pPr>
        <w:rPr>
          <w:rFonts w:cs="Arial"/>
          <w:sz w:val="16"/>
          <w:szCs w:val="16"/>
        </w:rPr>
      </w:pPr>
      <w:r w:rsidRPr="0016486E">
        <w:rPr>
          <w:rFonts w:cs="Arial"/>
          <w:sz w:val="16"/>
          <w:szCs w:val="16"/>
        </w:rPr>
        <w:fldChar w:fldCharType="end"/>
      </w:r>
    </w:p>
    <w:p w:rsidR="008A7483" w:rsidRPr="0016486E" w:rsidRDefault="008A7483" w:rsidP="00D55A8D">
      <w:pPr>
        <w:rPr>
          <w:rFonts w:cs="Arial"/>
          <w:b/>
          <w:sz w:val="16"/>
          <w:szCs w:val="16"/>
        </w:rPr>
      </w:pPr>
    </w:p>
    <w:p w:rsidR="008A7483" w:rsidRPr="0016486E" w:rsidRDefault="008A7483" w:rsidP="00AF038A">
      <w:pPr>
        <w:jc w:val="center"/>
        <w:rPr>
          <w:rFonts w:cs="Arial"/>
          <w:b/>
          <w:sz w:val="16"/>
          <w:szCs w:val="16"/>
        </w:rPr>
      </w:pPr>
    </w:p>
    <w:p w:rsidR="0016486E" w:rsidRPr="0016486E" w:rsidRDefault="0016486E" w:rsidP="00AF038A">
      <w:pPr>
        <w:jc w:val="center"/>
        <w:rPr>
          <w:rFonts w:cs="Arial"/>
          <w:b/>
          <w:sz w:val="16"/>
          <w:szCs w:val="16"/>
        </w:rPr>
        <w:sectPr w:rsidR="0016486E" w:rsidRPr="0016486E" w:rsidSect="0016486E">
          <w:headerReference w:type="default" r:id="rId9"/>
          <w:footerReference w:type="default" r:id="rId10"/>
          <w:pgSz w:w="12240" w:h="18720" w:code="14"/>
          <w:pgMar w:top="1418" w:right="1701" w:bottom="1418" w:left="1701" w:header="1134" w:footer="1134" w:gutter="0"/>
          <w:cols w:space="708"/>
          <w:docGrid w:linePitch="360"/>
        </w:sectPr>
      </w:pPr>
    </w:p>
    <w:p w:rsidR="008A7483" w:rsidRPr="0016486E" w:rsidRDefault="008A7483" w:rsidP="002655BC">
      <w:pPr>
        <w:jc w:val="center"/>
        <w:rPr>
          <w:rFonts w:cs="Arial"/>
          <w:b/>
          <w:sz w:val="16"/>
          <w:szCs w:val="16"/>
          <w:lang w:val="pt-BR"/>
        </w:rPr>
      </w:pPr>
      <w:r w:rsidRPr="0016486E">
        <w:rPr>
          <w:rFonts w:cs="Arial"/>
          <w:b/>
          <w:sz w:val="16"/>
          <w:szCs w:val="16"/>
          <w:lang w:val="pt-BR"/>
        </w:rPr>
        <w:lastRenderedPageBreak/>
        <w:t>PARTE II</w:t>
      </w:r>
    </w:p>
    <w:p w:rsidR="008A7483" w:rsidRPr="0016486E" w:rsidRDefault="008A7483" w:rsidP="00AF038A">
      <w:pPr>
        <w:jc w:val="center"/>
        <w:rPr>
          <w:rFonts w:cs="Arial"/>
          <w:b/>
          <w:sz w:val="16"/>
          <w:szCs w:val="16"/>
          <w:lang w:val="pt-BR"/>
        </w:rPr>
      </w:pPr>
      <w:r w:rsidRPr="0016486E">
        <w:rPr>
          <w:rFonts w:cs="Arial"/>
          <w:b/>
          <w:sz w:val="16"/>
          <w:szCs w:val="16"/>
          <w:lang w:val="pt-BR"/>
        </w:rPr>
        <w:t>MERCADO INTERMEDIADO</w:t>
      </w:r>
    </w:p>
    <w:p w:rsidR="008A7483" w:rsidRPr="0016486E" w:rsidRDefault="008A7483" w:rsidP="00AF038A">
      <w:pPr>
        <w:jc w:val="center"/>
        <w:rPr>
          <w:rFonts w:cs="Arial"/>
          <w:sz w:val="16"/>
          <w:szCs w:val="16"/>
          <w:lang w:val="pt-BR"/>
        </w:rPr>
      </w:pPr>
    </w:p>
    <w:p w:rsidR="008A7483" w:rsidRPr="0016486E" w:rsidRDefault="008A7483" w:rsidP="00AF038A">
      <w:pPr>
        <w:jc w:val="center"/>
        <w:rPr>
          <w:rFonts w:cs="Arial"/>
          <w:b/>
          <w:sz w:val="16"/>
          <w:szCs w:val="16"/>
          <w:lang w:val="pt-BR"/>
        </w:rPr>
      </w:pPr>
      <w:r w:rsidRPr="0016486E">
        <w:rPr>
          <w:rFonts w:cs="Arial"/>
          <w:b/>
          <w:sz w:val="16"/>
          <w:szCs w:val="16"/>
          <w:lang w:val="pt-BR"/>
        </w:rPr>
        <w:t>TÍTULO III</w:t>
      </w:r>
    </w:p>
    <w:p w:rsidR="008A7483" w:rsidRPr="0016486E" w:rsidRDefault="008A7483" w:rsidP="00AF038A">
      <w:pPr>
        <w:jc w:val="center"/>
        <w:rPr>
          <w:rFonts w:cs="Arial"/>
          <w:b/>
          <w:sz w:val="16"/>
          <w:szCs w:val="16"/>
        </w:rPr>
      </w:pPr>
      <w:r w:rsidRPr="0016486E">
        <w:rPr>
          <w:rFonts w:cs="Arial"/>
          <w:b/>
          <w:sz w:val="16"/>
          <w:szCs w:val="16"/>
        </w:rPr>
        <w:t>INSTRUCCIONES GENERALES RELATIVAS A LAS OPERACIONES DE LAS ENTIDADES ADMINISTRADORAS DE PENSIONES Y CESANTÍAS</w:t>
      </w:r>
    </w:p>
    <w:p w:rsidR="008A7483" w:rsidRPr="0016486E" w:rsidRDefault="008A7483" w:rsidP="00E31FE3">
      <w:pPr>
        <w:jc w:val="center"/>
        <w:rPr>
          <w:rFonts w:cs="Arial"/>
          <w:b/>
          <w:sz w:val="16"/>
          <w:szCs w:val="16"/>
        </w:rPr>
      </w:pPr>
    </w:p>
    <w:p w:rsidR="008A7483" w:rsidRPr="0016486E" w:rsidRDefault="008A7483" w:rsidP="00E31FE3">
      <w:pPr>
        <w:jc w:val="center"/>
        <w:rPr>
          <w:rFonts w:cs="Arial"/>
          <w:b/>
          <w:sz w:val="16"/>
          <w:szCs w:val="16"/>
        </w:rPr>
      </w:pPr>
      <w:r w:rsidRPr="0016486E">
        <w:rPr>
          <w:rFonts w:cs="Arial"/>
          <w:b/>
          <w:sz w:val="16"/>
          <w:szCs w:val="16"/>
        </w:rPr>
        <w:t>CAPÍTULO I: DISPOSICIONES  ESPECIALES APLICABLES A LAS ENTIDADES ADMINISTRADORAS</w:t>
      </w:r>
    </w:p>
    <w:p w:rsidR="008A7483" w:rsidRPr="0016486E" w:rsidRDefault="008A7483" w:rsidP="00E31FE3">
      <w:pPr>
        <w:jc w:val="center"/>
        <w:rPr>
          <w:rFonts w:cs="Arial"/>
          <w:b/>
          <w:sz w:val="16"/>
          <w:szCs w:val="16"/>
        </w:rPr>
      </w:pPr>
      <w:r w:rsidRPr="0016486E">
        <w:rPr>
          <w:rFonts w:cs="Arial"/>
          <w:b/>
          <w:sz w:val="16"/>
          <w:szCs w:val="16"/>
        </w:rPr>
        <w:t>DEL SISTEMA GENERAL DE PENSIONES – SGP</w:t>
      </w:r>
    </w:p>
    <w:p w:rsidR="00E52AA6" w:rsidRPr="0016486E" w:rsidRDefault="00E52AA6" w:rsidP="00E31FE3">
      <w:pPr>
        <w:jc w:val="center"/>
        <w:rPr>
          <w:rFonts w:cs="Arial"/>
          <w:b/>
          <w:sz w:val="16"/>
          <w:szCs w:val="16"/>
        </w:rPr>
      </w:pPr>
    </w:p>
    <w:p w:rsidR="008A7483" w:rsidRPr="0016486E" w:rsidRDefault="008A7483" w:rsidP="00E52AA6">
      <w:pPr>
        <w:rPr>
          <w:rFonts w:cs="Arial"/>
          <w:b/>
          <w:sz w:val="16"/>
          <w:szCs w:val="16"/>
        </w:rPr>
      </w:pPr>
    </w:p>
    <w:p w:rsidR="008A7483" w:rsidRPr="0016486E" w:rsidRDefault="008A7483" w:rsidP="00E52AA6">
      <w:pPr>
        <w:pStyle w:val="Ttulo1"/>
        <w:spacing w:before="0" w:after="0"/>
        <w:rPr>
          <w:rFonts w:cs="Arial"/>
          <w:sz w:val="16"/>
          <w:szCs w:val="16"/>
        </w:rPr>
      </w:pPr>
      <w:bookmarkStart w:id="0" w:name="_Toc269947578"/>
      <w:r w:rsidRPr="0016486E">
        <w:rPr>
          <w:rFonts w:cs="Arial"/>
          <w:sz w:val="16"/>
          <w:szCs w:val="16"/>
        </w:rPr>
        <w:t>1. VINCULACIÓN A LAS ENTIDADES ADMINISTRADORAS DEL SGP</w:t>
      </w:r>
      <w:bookmarkEnd w:id="0"/>
    </w:p>
    <w:p w:rsidR="008A7483" w:rsidRPr="0016486E" w:rsidRDefault="008A7483" w:rsidP="004E3056">
      <w:pPr>
        <w:rPr>
          <w:rFonts w:cs="Arial"/>
          <w:b/>
          <w:bCs/>
          <w:kern w:val="32"/>
          <w:sz w:val="16"/>
          <w:szCs w:val="16"/>
          <w:lang w:val="es-ES" w:eastAsia="es-ES"/>
        </w:rPr>
      </w:pPr>
    </w:p>
    <w:p w:rsidR="008A7483" w:rsidRPr="0016486E" w:rsidRDefault="008A7483" w:rsidP="004E3056">
      <w:pPr>
        <w:rPr>
          <w:rFonts w:cs="Arial"/>
          <w:sz w:val="16"/>
          <w:szCs w:val="16"/>
        </w:rPr>
      </w:pPr>
      <w:r w:rsidRPr="0016486E">
        <w:rPr>
          <w:rFonts w:cs="Arial"/>
          <w:sz w:val="16"/>
          <w:szCs w:val="16"/>
        </w:rPr>
        <w:t xml:space="preserve">La vinculación de los afiliados al sistema general de pensiones debe realizarse mediante el diligenciamiento del formulario  establecido por la SFC en </w:t>
      </w:r>
      <w:r w:rsidR="00804016" w:rsidRPr="0016486E">
        <w:rPr>
          <w:rFonts w:cs="Arial"/>
          <w:sz w:val="16"/>
          <w:szCs w:val="16"/>
        </w:rPr>
        <w:t xml:space="preserve">el </w:t>
      </w:r>
      <w:r w:rsidR="00F85B31" w:rsidRPr="0016486E">
        <w:rPr>
          <w:rFonts w:cs="Arial"/>
          <w:sz w:val="16"/>
          <w:szCs w:val="16"/>
        </w:rPr>
        <w:t xml:space="preserve">Anexo 1 </w:t>
      </w:r>
      <w:r w:rsidRPr="0016486E">
        <w:rPr>
          <w:rFonts w:cs="Arial"/>
          <w:sz w:val="16"/>
          <w:szCs w:val="16"/>
        </w:rPr>
        <w:t>del presente Capítulo.</w:t>
      </w:r>
    </w:p>
    <w:p w:rsidR="008A7483" w:rsidRPr="0016486E" w:rsidRDefault="008A7483" w:rsidP="004E3056">
      <w:pPr>
        <w:rPr>
          <w:rFonts w:cs="Arial"/>
          <w:sz w:val="16"/>
          <w:szCs w:val="16"/>
        </w:rPr>
      </w:pPr>
    </w:p>
    <w:p w:rsidR="008A7483" w:rsidRPr="0016486E" w:rsidRDefault="008A7483" w:rsidP="004E3056">
      <w:pPr>
        <w:rPr>
          <w:rFonts w:cs="Arial"/>
          <w:sz w:val="16"/>
          <w:szCs w:val="16"/>
        </w:rPr>
      </w:pPr>
      <w:r w:rsidRPr="0016486E">
        <w:rPr>
          <w:rFonts w:cs="Arial"/>
          <w:sz w:val="16"/>
          <w:szCs w:val="16"/>
        </w:rPr>
        <w:t>Al respecto es de señalar que la vinculación no es inválida por el hecho de que se omitan algunos datos del formulario, como por ejemplo el documento de identidad de los beneficiarios, siempre y cuando los mismos no correspondan a la información mínima exigida en el art. 11 del Decreto 692 de 1994.</w:t>
      </w:r>
    </w:p>
    <w:p w:rsidR="008A7483" w:rsidRPr="0016486E" w:rsidRDefault="008A7483" w:rsidP="004E3056">
      <w:pPr>
        <w:rPr>
          <w:rFonts w:cs="Arial"/>
          <w:sz w:val="16"/>
          <w:szCs w:val="16"/>
        </w:rPr>
      </w:pPr>
    </w:p>
    <w:p w:rsidR="008A7483" w:rsidRPr="0016486E" w:rsidRDefault="008A7483" w:rsidP="00E52AA6">
      <w:pPr>
        <w:rPr>
          <w:rFonts w:cs="Arial"/>
          <w:sz w:val="16"/>
          <w:szCs w:val="16"/>
        </w:rPr>
      </w:pPr>
      <w:r w:rsidRPr="0016486E">
        <w:rPr>
          <w:rFonts w:cs="Arial"/>
          <w:sz w:val="16"/>
          <w:szCs w:val="16"/>
        </w:rPr>
        <w:t xml:space="preserve">El formulario a que se refiere este numeral debe ser adoptado por las entidades administradoras, con las especificaciones e instrucciones indicadas por esta Superintendencia en la mencionada proforma y su correspondiente instructivo, lo cual no obsta para que cada entidad dependiendo de las características y necesidades propias pueda introducir las modificaciones e información que considere pertinente, previa aprobación de esta Superintendencia. En tal sentido, las reformas que pretendan realizarse deben justificarse, debiendo remitirse para el efecto el proyecto de formato correspondiente.  </w:t>
      </w:r>
    </w:p>
    <w:p w:rsidR="00E52AA6" w:rsidRPr="0016486E" w:rsidRDefault="00E52AA6" w:rsidP="00E52AA6">
      <w:pPr>
        <w:rPr>
          <w:rFonts w:cs="Arial"/>
          <w:sz w:val="16"/>
          <w:szCs w:val="16"/>
        </w:rPr>
      </w:pPr>
    </w:p>
    <w:p w:rsidR="00E52AA6" w:rsidRPr="0016486E" w:rsidRDefault="00E52AA6" w:rsidP="00E52AA6">
      <w:pPr>
        <w:rPr>
          <w:rFonts w:cs="Arial"/>
          <w:sz w:val="16"/>
          <w:szCs w:val="16"/>
        </w:rPr>
      </w:pPr>
    </w:p>
    <w:p w:rsidR="008A7483" w:rsidRPr="0016486E" w:rsidRDefault="008A7483" w:rsidP="00E52AA6">
      <w:pPr>
        <w:pStyle w:val="Ttulo1"/>
        <w:spacing w:before="0" w:after="0"/>
        <w:rPr>
          <w:rFonts w:cs="Arial"/>
          <w:sz w:val="16"/>
          <w:szCs w:val="16"/>
        </w:rPr>
      </w:pPr>
      <w:bookmarkStart w:id="1" w:name="_Toc269947579"/>
      <w:r w:rsidRPr="0016486E">
        <w:rPr>
          <w:rFonts w:cs="Arial"/>
          <w:sz w:val="16"/>
          <w:szCs w:val="16"/>
        </w:rPr>
        <w:t>2. CÁLCULO DE RESERVAS</w:t>
      </w:r>
      <w:bookmarkEnd w:id="1"/>
    </w:p>
    <w:p w:rsidR="008A7483" w:rsidRPr="0016486E" w:rsidRDefault="008A7483" w:rsidP="00E52AA6">
      <w:pPr>
        <w:rPr>
          <w:rFonts w:cs="Arial"/>
          <w:sz w:val="16"/>
          <w:szCs w:val="16"/>
        </w:rPr>
      </w:pPr>
    </w:p>
    <w:p w:rsidR="008A7483" w:rsidRPr="0016486E" w:rsidRDefault="008A7483" w:rsidP="00AF038A">
      <w:pPr>
        <w:rPr>
          <w:rFonts w:cs="Arial"/>
          <w:sz w:val="16"/>
          <w:szCs w:val="16"/>
        </w:rPr>
      </w:pPr>
      <w:r w:rsidRPr="0016486E">
        <w:rPr>
          <w:rFonts w:cs="Arial"/>
          <w:sz w:val="16"/>
          <w:szCs w:val="16"/>
        </w:rPr>
        <w:t>Las entidades administradoras del SGP y las correspondientes aseguradoras de vida al efectuar los cálculos que involucran la utilización de tablas de mortalidad, de invalidez de activos, de mortalidad de inválidos y de rentistas, para efectos del cálculo de reservas deben emplear un interés técnico real del 4%.</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Para efecto del cálculo de reservas, las entidades administradoras del SGP y las correspondientes aseguradoras de vida deben emplear las tablas establecidas en los anexos señalados en el subnumeral 3.8 del Capítulo II, Título IV de la Parte II de la presente Circular.</w:t>
      </w:r>
    </w:p>
    <w:p w:rsidR="008A7483" w:rsidRPr="0016486E" w:rsidRDefault="008A7483" w:rsidP="00AF038A">
      <w:pPr>
        <w:rPr>
          <w:rFonts w:cs="Arial"/>
          <w:sz w:val="16"/>
          <w:szCs w:val="16"/>
        </w:rPr>
      </w:pPr>
    </w:p>
    <w:p w:rsidR="008A7483" w:rsidRPr="0016486E" w:rsidRDefault="008A7483" w:rsidP="00AF038A">
      <w:pPr>
        <w:rPr>
          <w:rFonts w:cs="Arial"/>
          <w:sz w:val="16"/>
          <w:szCs w:val="16"/>
        </w:rPr>
      </w:pPr>
    </w:p>
    <w:p w:rsidR="008A7483" w:rsidRPr="0016486E" w:rsidRDefault="008A7483" w:rsidP="00E245A1">
      <w:pPr>
        <w:pStyle w:val="Ttulo1"/>
        <w:spacing w:before="0" w:after="0"/>
        <w:jc w:val="both"/>
        <w:rPr>
          <w:rFonts w:cs="Arial"/>
          <w:sz w:val="16"/>
          <w:szCs w:val="16"/>
        </w:rPr>
      </w:pPr>
      <w:bookmarkStart w:id="2" w:name="_Toc269947580"/>
      <w:r w:rsidRPr="0016486E">
        <w:rPr>
          <w:rFonts w:cs="Arial"/>
          <w:caps/>
          <w:sz w:val="16"/>
          <w:szCs w:val="16"/>
        </w:rPr>
        <w:t>3. PROCEDIMIENTO PARA EL TRASLADO DE AFILIADOS ENTRE REGÍMENES PENSIONALES Y ENTRE LAS DIFERENTES ADMINISTRADORAS DEL SGP</w:t>
      </w:r>
      <w:bookmarkEnd w:id="2"/>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 w:name="_Toc269947581"/>
      <w:r w:rsidRPr="0016486E">
        <w:rPr>
          <w:rFonts w:cs="Arial"/>
          <w:sz w:val="16"/>
          <w:szCs w:val="16"/>
        </w:rPr>
        <w:t>3.1. Términos para los traslados</w:t>
      </w:r>
      <w:bookmarkEnd w:id="3"/>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término para trasladarse de régimen es de 5 años de conformidad con lo establecido en el literal e</w:t>
      </w:r>
      <w:r w:rsidR="004150F5" w:rsidRPr="0016486E">
        <w:rPr>
          <w:rFonts w:cs="Arial"/>
          <w:sz w:val="16"/>
          <w:szCs w:val="16"/>
        </w:rPr>
        <w:t>.</w:t>
      </w:r>
      <w:r w:rsidRPr="0016486E">
        <w:rPr>
          <w:rFonts w:cs="Arial"/>
          <w:sz w:val="16"/>
          <w:szCs w:val="16"/>
        </w:rPr>
        <w:t xml:space="preserve"> del art. 13 de la Ley 100 de 1993, modificado por la Ley 797 de 2003 y siempre que al afiliado le falten más de 10 años para cumplir la edad para tener derecho a la pensión de vejez en el régimen de prima media con prestación definida.</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Para cambiarse de sociedad administradora dentro del régimen de ahorro individual con solidaridad – RAIS-, el término es de 6 meses de conformidad con los arts. 107 de la Ley 100 de 1993 y 16 del Decreto 692 de 1994.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En ambos casos los términos señalados </w:t>
      </w:r>
      <w:r w:rsidR="00156036" w:rsidRPr="0016486E">
        <w:rPr>
          <w:rFonts w:cs="Arial"/>
          <w:sz w:val="16"/>
          <w:szCs w:val="16"/>
        </w:rPr>
        <w:t>deben contarse</w:t>
      </w:r>
      <w:r w:rsidRPr="0016486E">
        <w:rPr>
          <w:rFonts w:cs="Arial"/>
          <w:sz w:val="16"/>
          <w:szCs w:val="16"/>
        </w:rPr>
        <w:t xml:space="preserve"> desde la selección anterior. Se ent</w:t>
      </w:r>
      <w:r w:rsidR="00156036" w:rsidRPr="0016486E">
        <w:rPr>
          <w:rFonts w:cs="Arial"/>
          <w:sz w:val="16"/>
          <w:szCs w:val="16"/>
        </w:rPr>
        <w:t xml:space="preserve">iende </w:t>
      </w:r>
      <w:r w:rsidRPr="0016486E">
        <w:rPr>
          <w:rFonts w:cs="Arial"/>
          <w:sz w:val="16"/>
          <w:szCs w:val="16"/>
        </w:rPr>
        <w:t>que hubo selección desde el momento en que se present</w:t>
      </w:r>
      <w:r w:rsidR="00156036" w:rsidRPr="0016486E">
        <w:rPr>
          <w:rFonts w:cs="Arial"/>
          <w:sz w:val="16"/>
          <w:szCs w:val="16"/>
        </w:rPr>
        <w:t>e</w:t>
      </w:r>
      <w:r w:rsidRPr="0016486E">
        <w:rPr>
          <w:rFonts w:cs="Arial"/>
          <w:sz w:val="16"/>
          <w:szCs w:val="16"/>
        </w:rPr>
        <w:t xml:space="preserve"> debidamente diligenciado el formulario correspondiente a la entidad administradora escogida, siempre que no se haya ejercido el derecho de retracto a que se refiere el subnumeral 3.3. del presente Capítulo.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aplicación de lo establecido en la Ley 1580 de 2012 en concordancia con el Decreto 288 de 2014, cuando los afiliados al SGP decidan optar por la aplicación de la pensión familiar, no s</w:t>
      </w:r>
      <w:r w:rsidR="00156036" w:rsidRPr="0016486E">
        <w:rPr>
          <w:rFonts w:cs="Arial"/>
          <w:sz w:val="16"/>
          <w:szCs w:val="16"/>
        </w:rPr>
        <w:t>on</w:t>
      </w:r>
      <w:r w:rsidRPr="0016486E">
        <w:rPr>
          <w:rFonts w:cs="Arial"/>
          <w:sz w:val="16"/>
          <w:szCs w:val="16"/>
        </w:rPr>
        <w:t xml:space="preserve"> oponibles para el traslado entre regímenes o entre administradoras del RAIS los términos antes señalados.</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4" w:name="_Toc269947582"/>
      <w:r w:rsidRPr="0016486E">
        <w:rPr>
          <w:rFonts w:cs="Arial"/>
          <w:sz w:val="16"/>
          <w:szCs w:val="16"/>
        </w:rPr>
        <w:t>3.2. Diligenciamiento del formulario</w:t>
      </w:r>
      <w:bookmarkEnd w:id="4"/>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Cuando el afiliado decida trasladarse de régimen o de administradora, debe expresar su voluntad mediante el diligenciamiento del formulario establecido en la proforma A.2000-01, de conformidad con su instructivo, ante el empleador o ante la nueva entidad administradora, de conformidad con las disposiciones vigentes sobre el particular.</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Con el fin de proceder al traslado, entre regímenes o entre administradoras del RAIS, el respectivo formulario sólo se puede presentar debidamente diligenciado a partir del primer día del 61 mes de efectuada la selección de régimen en el primer caso,</w:t>
      </w:r>
      <w:r w:rsidR="004150F5" w:rsidRPr="0016486E">
        <w:rPr>
          <w:rFonts w:cs="Arial"/>
          <w:sz w:val="16"/>
          <w:szCs w:val="16"/>
        </w:rPr>
        <w:t xml:space="preserve"> y a partir del primer día del séptimo</w:t>
      </w:r>
      <w:r w:rsidRPr="0016486E">
        <w:rPr>
          <w:rFonts w:cs="Arial"/>
          <w:sz w:val="16"/>
          <w:szCs w:val="16"/>
        </w:rPr>
        <w:t xml:space="preserve"> mes de seleccionada la administradora, en el segundo.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El formulario de vinculación debe diligenciarse en original y dos copias, cuya distribución </w:t>
      </w:r>
      <w:r w:rsidR="004150F5" w:rsidRPr="0016486E">
        <w:rPr>
          <w:rFonts w:cs="Arial"/>
          <w:sz w:val="16"/>
          <w:szCs w:val="16"/>
        </w:rPr>
        <w:t xml:space="preserve">debe </w:t>
      </w:r>
      <w:r w:rsidRPr="0016486E">
        <w:rPr>
          <w:rFonts w:cs="Arial"/>
          <w:sz w:val="16"/>
          <w:szCs w:val="16"/>
        </w:rPr>
        <w:t>ser la siguiente: original para la nueva administradora, una copia para el afiliado y una copia para el empleador, cuando se trate de trabajador dependiente. Tratándose de trabajadores independientes, sólo es necesario diligenciarlo en original y una copia, el primero para la nueva administradora y, la segunda, para el afiliado.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Tratándose de solicitudes de traslado entre administradoras del RAIS o entre los regímenes del SGP, para efectos de acceder a la pensión familiar ya referida, deben diligenciarse los espacios creados en el mencionado formulario.</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5" w:name="_Toc269947583"/>
      <w:r w:rsidRPr="0016486E">
        <w:rPr>
          <w:rFonts w:cs="Arial"/>
          <w:sz w:val="16"/>
          <w:szCs w:val="16"/>
        </w:rPr>
        <w:t>3.3. Solicitudes de retracto</w:t>
      </w:r>
      <w:bookmarkEnd w:id="5"/>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trabajador tiene el derecho a retractarse de su decisión manifestando su voluntad por escrito dentro de los 5 días hábiles siguientes a la fecha en la cual haya efectuado la correspondiente selección, según lo prevé el art. 3 del Decreto 1161 de 1994. Dicha solicitud de retracto tiene validez siempre y cuando sea radicada en la entidad a la cual se desea trasladar el afiliado, dentro de los 5 días hábiles anteriormente citados, sin perjuicio de que esta solicitud se envíe mediante correo certificado dentro del mismo plazo.</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6" w:name="_Toc269947584"/>
      <w:r w:rsidRPr="0016486E">
        <w:rPr>
          <w:rFonts w:cs="Arial"/>
          <w:sz w:val="16"/>
          <w:szCs w:val="16"/>
        </w:rPr>
        <w:lastRenderedPageBreak/>
        <w:t>3.4. Reporte de solicitudes de traslado a la administradora anterior</w:t>
      </w:r>
      <w:bookmarkEnd w:id="6"/>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La nueva administradora debe informar a la administradora anterior a más tardar el </w:t>
      </w:r>
      <w:r w:rsidR="008B31C3" w:rsidRPr="0016486E">
        <w:rPr>
          <w:rFonts w:cs="Arial"/>
          <w:sz w:val="16"/>
          <w:szCs w:val="16"/>
        </w:rPr>
        <w:t>octav</w:t>
      </w:r>
      <w:r w:rsidRPr="0016486E">
        <w:rPr>
          <w:rFonts w:cs="Arial"/>
          <w:sz w:val="16"/>
          <w:szCs w:val="16"/>
        </w:rPr>
        <w:t>o día de cada mes las solicitudes de traslado presentadas en el mes inmediatamente anterior. Si el plazo señalado vence un sábado, domingo o festivo, se entiende prorrogado hasta el día hábil siguiente. Para tales efectos, la nueva administradora</w:t>
      </w:r>
      <w:r w:rsidR="008B31C3" w:rsidRPr="0016486E">
        <w:rPr>
          <w:rFonts w:cs="Arial"/>
          <w:sz w:val="16"/>
          <w:szCs w:val="16"/>
        </w:rPr>
        <w:t xml:space="preserve"> debe</w:t>
      </w:r>
      <w:r w:rsidRPr="0016486E">
        <w:rPr>
          <w:rFonts w:cs="Arial"/>
          <w:sz w:val="16"/>
          <w:szCs w:val="16"/>
        </w:rPr>
        <w:t xml:space="preserve"> elaborar un listado que contenga los nombres de los trabajadores con</w:t>
      </w:r>
      <w:r w:rsidR="008B31C3" w:rsidRPr="0016486E">
        <w:rPr>
          <w:rFonts w:cs="Arial"/>
          <w:sz w:val="16"/>
          <w:szCs w:val="16"/>
        </w:rPr>
        <w:t xml:space="preserve"> su identificación y debe anexar</w:t>
      </w:r>
      <w:r w:rsidRPr="0016486E">
        <w:rPr>
          <w:rFonts w:cs="Arial"/>
          <w:sz w:val="16"/>
          <w:szCs w:val="16"/>
        </w:rPr>
        <w:t xml:space="preserve"> las fotocopias de los respectivos formularios de vinculación, dejando constancia expresa de la fecha en que se efectúa el reporte.</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Los listados a que se refiere el presente subnumeral pueden ser remitidos en medio magnético o electrónico.</w:t>
      </w:r>
    </w:p>
    <w:p w:rsidR="008A7483" w:rsidRPr="0016486E" w:rsidRDefault="008A7483" w:rsidP="00AF038A">
      <w:pPr>
        <w:rPr>
          <w:rFonts w:cs="Arial"/>
          <w:b/>
          <w:sz w:val="16"/>
          <w:szCs w:val="16"/>
        </w:rPr>
      </w:pPr>
    </w:p>
    <w:p w:rsidR="008A7483" w:rsidRPr="0016486E" w:rsidRDefault="008A7483" w:rsidP="00AF038A">
      <w:pPr>
        <w:pStyle w:val="Ttulo2"/>
        <w:spacing w:before="0" w:after="0"/>
        <w:rPr>
          <w:rFonts w:cs="Arial"/>
          <w:sz w:val="16"/>
          <w:szCs w:val="16"/>
        </w:rPr>
      </w:pPr>
      <w:bookmarkStart w:id="7" w:name="_Toc269947585"/>
      <w:r w:rsidRPr="0016486E">
        <w:rPr>
          <w:rFonts w:cs="Arial"/>
          <w:sz w:val="16"/>
          <w:szCs w:val="16"/>
        </w:rPr>
        <w:t>3.5. Informe de solicitudes de traslado</w:t>
      </w:r>
      <w:bookmarkEnd w:id="7"/>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 administradora anterior, previa verificación del cumplimiento de los requisitos legales, debe informar a la nueva administradora, al afiliado y al empleador, si es del caso, acerca de la procedencia o no de las solicitudes de traslado reportadas en el respectivo mes de acuerdo con el subnumeral precedente, a más tardar el 23 del mismo mes en que se efectuó el reporte.</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Para ello debe emplear un formato que contenga como mínimo las siguientes especificaciones: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3.5.1. Nombre o razón social de la nueva entidad administradora</w:t>
      </w:r>
    </w:p>
    <w:p w:rsidR="008A7483" w:rsidRPr="0016486E" w:rsidRDefault="008A7483" w:rsidP="00AF038A">
      <w:pPr>
        <w:rPr>
          <w:rFonts w:cs="Arial"/>
          <w:sz w:val="16"/>
          <w:szCs w:val="16"/>
        </w:rPr>
      </w:pPr>
      <w:r w:rsidRPr="0016486E">
        <w:rPr>
          <w:rFonts w:cs="Arial"/>
          <w:sz w:val="16"/>
          <w:szCs w:val="16"/>
        </w:rPr>
        <w:t>3.5.2. Fechas del reporte de las solicitudes de traslado y del informe de verificación de los requisitos legales</w:t>
      </w:r>
    </w:p>
    <w:p w:rsidR="008A7483" w:rsidRPr="0016486E" w:rsidRDefault="008A7483" w:rsidP="00AF038A">
      <w:pPr>
        <w:rPr>
          <w:rFonts w:cs="Arial"/>
          <w:sz w:val="16"/>
          <w:szCs w:val="16"/>
        </w:rPr>
      </w:pPr>
      <w:r w:rsidRPr="0016486E">
        <w:rPr>
          <w:rFonts w:cs="Arial"/>
          <w:sz w:val="16"/>
          <w:szCs w:val="16"/>
        </w:rPr>
        <w:t>3.5.3. Nombre y apellidos del solicitante</w:t>
      </w:r>
    </w:p>
    <w:p w:rsidR="008A7483" w:rsidRPr="0016486E" w:rsidRDefault="008A7483" w:rsidP="00AF038A">
      <w:pPr>
        <w:rPr>
          <w:rFonts w:cs="Arial"/>
          <w:sz w:val="16"/>
          <w:szCs w:val="16"/>
        </w:rPr>
      </w:pPr>
      <w:r w:rsidRPr="0016486E">
        <w:rPr>
          <w:rFonts w:cs="Arial"/>
          <w:sz w:val="16"/>
          <w:szCs w:val="16"/>
        </w:rPr>
        <w:t>3.5.4. Documento de identificación</w:t>
      </w:r>
    </w:p>
    <w:p w:rsidR="008A7483" w:rsidRPr="0016486E" w:rsidRDefault="008A7483" w:rsidP="00AF038A">
      <w:pPr>
        <w:rPr>
          <w:rFonts w:cs="Arial"/>
          <w:sz w:val="16"/>
          <w:szCs w:val="16"/>
        </w:rPr>
      </w:pPr>
      <w:r w:rsidRPr="0016486E">
        <w:rPr>
          <w:rFonts w:cs="Arial"/>
          <w:sz w:val="16"/>
          <w:szCs w:val="16"/>
        </w:rPr>
        <w:t>3.5.5. Procedencia o improcedencia de la solicitud. Causal ---------</w:t>
      </w:r>
    </w:p>
    <w:p w:rsidR="008A7483" w:rsidRPr="0016486E" w:rsidRDefault="008A7483" w:rsidP="00AF038A">
      <w:pPr>
        <w:rPr>
          <w:rFonts w:cs="Arial"/>
          <w:sz w:val="16"/>
          <w:szCs w:val="16"/>
        </w:rPr>
      </w:pPr>
      <w:r w:rsidRPr="0016486E">
        <w:rPr>
          <w:rFonts w:cs="Arial"/>
          <w:sz w:val="16"/>
          <w:szCs w:val="16"/>
        </w:rPr>
        <w:t>3.5.6. Nombre completo, cargo y firma del funcionario responsable</w:t>
      </w:r>
    </w:p>
    <w:p w:rsidR="008A7483" w:rsidRPr="0016486E" w:rsidRDefault="008A7483" w:rsidP="00AF038A">
      <w:pPr>
        <w:rPr>
          <w:rFonts w:cs="Arial"/>
          <w:sz w:val="16"/>
          <w:szCs w:val="16"/>
        </w:rPr>
      </w:pPr>
    </w:p>
    <w:p w:rsidR="008A7483" w:rsidRPr="0016486E" w:rsidRDefault="008A7483" w:rsidP="00156036">
      <w:pPr>
        <w:pStyle w:val="Ttulo2"/>
        <w:spacing w:before="0" w:after="0"/>
        <w:rPr>
          <w:rFonts w:cs="Arial"/>
          <w:sz w:val="16"/>
          <w:szCs w:val="16"/>
        </w:rPr>
      </w:pPr>
      <w:bookmarkStart w:id="8" w:name="_Toc269947586"/>
      <w:r w:rsidRPr="0016486E">
        <w:rPr>
          <w:rFonts w:cs="Arial"/>
          <w:sz w:val="16"/>
          <w:szCs w:val="16"/>
        </w:rPr>
        <w:t>3.6. Causales de rechazo del traslado</w:t>
      </w:r>
      <w:bookmarkEnd w:id="8"/>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Para efectos de lo dispuesto en el subnumeral 3.5.5, la administradora anterior está en la obligación de verificar que el afiliado no esté incurso en alguna de las siguientes situaciones: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3.6.1. Fecha de la última selección menor a 6 meses (cambio entre administradoras del RAIS) </w:t>
      </w:r>
    </w:p>
    <w:p w:rsidR="008A7483" w:rsidRPr="0016486E" w:rsidRDefault="008A7483" w:rsidP="00AF038A">
      <w:pPr>
        <w:rPr>
          <w:rFonts w:cs="Arial"/>
          <w:sz w:val="16"/>
          <w:szCs w:val="16"/>
        </w:rPr>
      </w:pPr>
      <w:r w:rsidRPr="0016486E">
        <w:rPr>
          <w:rFonts w:cs="Arial"/>
          <w:sz w:val="16"/>
          <w:szCs w:val="16"/>
        </w:rPr>
        <w:t>3.6.2. Fecha de la última selección menor a 5 años (traslado entre regímenes pensionales)</w:t>
      </w:r>
    </w:p>
    <w:p w:rsidR="008A7483" w:rsidRPr="0016486E" w:rsidRDefault="008A7483" w:rsidP="00AF038A">
      <w:pPr>
        <w:rPr>
          <w:rFonts w:cs="Arial"/>
          <w:sz w:val="16"/>
          <w:szCs w:val="16"/>
        </w:rPr>
      </w:pPr>
      <w:r w:rsidRPr="0016486E">
        <w:rPr>
          <w:rFonts w:cs="Arial"/>
          <w:sz w:val="16"/>
          <w:szCs w:val="16"/>
        </w:rPr>
        <w:t>3.6.3. Que al afiliado le falten 10 o menos años para cumplir la edad para tener derecho a la pensión de vejez en el régimen de prima media con prestación definida (traslado entre regímenes), salvo que se trate de una solicitud de traslado soportado en el acceso a una pensión familiar, de conformidad con el art. 5 del Decreto 288 de 2014.</w:t>
      </w:r>
    </w:p>
    <w:p w:rsidR="008A7483" w:rsidRPr="0016486E" w:rsidRDefault="008A7483" w:rsidP="00AF038A">
      <w:pPr>
        <w:rPr>
          <w:rFonts w:cs="Arial"/>
          <w:sz w:val="16"/>
          <w:szCs w:val="16"/>
        </w:rPr>
      </w:pPr>
      <w:r w:rsidRPr="0016486E">
        <w:rPr>
          <w:rFonts w:cs="Arial"/>
          <w:sz w:val="16"/>
          <w:szCs w:val="16"/>
        </w:rPr>
        <w:t>3.6.4. En disfrute de pensión</w:t>
      </w:r>
    </w:p>
    <w:p w:rsidR="008A7483" w:rsidRPr="0016486E" w:rsidRDefault="008A7483" w:rsidP="00AF038A">
      <w:pPr>
        <w:rPr>
          <w:rFonts w:cs="Arial"/>
          <w:sz w:val="16"/>
          <w:szCs w:val="16"/>
        </w:rPr>
      </w:pPr>
      <w:r w:rsidRPr="0016486E">
        <w:rPr>
          <w:rFonts w:cs="Arial"/>
          <w:sz w:val="16"/>
          <w:szCs w:val="16"/>
        </w:rPr>
        <w:t>3.6.5. Solicitud de pensión en trámite</w:t>
      </w:r>
    </w:p>
    <w:p w:rsidR="008A7483" w:rsidRPr="0016486E" w:rsidRDefault="008A7483" w:rsidP="00AF038A">
      <w:pPr>
        <w:rPr>
          <w:rFonts w:cs="Arial"/>
          <w:sz w:val="16"/>
          <w:szCs w:val="16"/>
        </w:rPr>
      </w:pPr>
      <w:r w:rsidRPr="0016486E">
        <w:rPr>
          <w:rFonts w:cs="Arial"/>
          <w:sz w:val="16"/>
          <w:szCs w:val="16"/>
        </w:rPr>
        <w:t>3.6.6. No afiliado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Los plazos mencionados en los subnumerales 3.6.1. y 3.6.2. deben contarse desde la fecha en que se seleccionó la administradora anterior, siempre que tal selección se haya realizado dentro de los términos legales.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los eventos en que la administradora anterior verifique que se cumplieron los requisitos legales para que proceda el traslado, en el respectivo informe debe precisar la fecha a partir de la cual dicho traslado surte efectos, así como el mes a partir del cual deben efectuarse las cotizaciones a la nueva entidad.</w:t>
      </w:r>
    </w:p>
    <w:p w:rsidR="008A7483" w:rsidRPr="0016486E" w:rsidRDefault="008A7483" w:rsidP="00AF038A">
      <w:pPr>
        <w:rPr>
          <w:rFonts w:cs="Arial"/>
          <w:sz w:val="16"/>
          <w:szCs w:val="16"/>
          <w:u w:val="single"/>
        </w:rPr>
      </w:pPr>
    </w:p>
    <w:p w:rsidR="008A7483" w:rsidRPr="0016486E" w:rsidRDefault="008A7483" w:rsidP="00AF038A">
      <w:pPr>
        <w:rPr>
          <w:rFonts w:cs="Arial"/>
          <w:sz w:val="16"/>
          <w:szCs w:val="16"/>
        </w:rPr>
      </w:pPr>
      <w:r w:rsidRPr="0016486E">
        <w:rPr>
          <w:rFonts w:cs="Arial"/>
          <w:sz w:val="16"/>
          <w:szCs w:val="16"/>
        </w:rPr>
        <w:t>En los eventos en que no proceda el traslado, el informe debe expresar con claridad la causa del rechazo.</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9" w:name="_Toc269947587"/>
      <w:r w:rsidRPr="0016486E">
        <w:rPr>
          <w:rFonts w:cs="Arial"/>
          <w:sz w:val="16"/>
          <w:szCs w:val="16"/>
        </w:rPr>
        <w:t>3.7. Traslado de la información y de los saldos del afiliado a la nueva entidad administradora</w:t>
      </w:r>
      <w:bookmarkEnd w:id="9"/>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La administradora anterior tiene como plazo máximo 30 días hábiles siguientes a la fecha en que recibió el correspondiente reporte de solicitudes de traslados para transferir los recursos pertinentes y remitir la información respectiva a la nueva administradora, dejando expresa constancia de dicha transferencia.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 información a trasladar de la historia laboral del afiliado, la cual puede remitirse en medio magnético o electrónico, debe contener como mínimo: nombre y apellidos, fecha de nacimiento, sexo, documento de identificación y por cada período cotizado el número de identificación del empleador, la administradora en la que se efectuaron las cotizaciones, el período correspondiente, salario base de cotización, semanas cotizadas, valor de las cotizaciones obligatorias, porcentaje de cotización de alto riesgo, aportes voluntarios, si a ello hay lugar, y la solicitud del bono pensional, así como toda información adicional que repose en la entidad.</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Si en la fecha en que se efectúe el traslado de los saldos de un trabajador dependiente, la administradora anterior no ha recibido la última cotización, es decir, la que debió liquidarse en el mes en que se hizo efectivo el traslado, debe proceder a la transferencia de ésta dentro de los 20 días calendario siguientes a su recepción.</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Si el traslado se produce del régimen de prima media al de ahorro individual además del envío de la información aludida, hay lugar a la transferencia del título pensional o del valor que corresponda a la reserva pensional entregada, en su caso, y a la emisión o entrega del bono pensional.</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Tratándose de trabajadores independientes, la administradora anterior tiene el mismo plazo máximo previsto en el primer inciso del presente subnumeral, para transferir los saldos y remitir la información respectiva a la nueva administradora.</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0" w:name="_Toc269947588"/>
      <w:r w:rsidRPr="0016486E">
        <w:rPr>
          <w:rFonts w:cs="Arial"/>
          <w:sz w:val="16"/>
          <w:szCs w:val="16"/>
        </w:rPr>
        <w:t>3.8. Efectividad del traslado ante la nueva administradora</w:t>
      </w:r>
      <w:bookmarkEnd w:id="10"/>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De conformidad con lo dispuesto en el art. 42 del Decreto 1406 de 1999, el traslado surte efectos el primer día calendario del segundo mes siguiente a la fecha de presentación de la solicitud de vinculación realizada por el afiliado ante la nueva administradora.</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1" w:name="_Toc269947589"/>
      <w:r w:rsidRPr="0016486E">
        <w:rPr>
          <w:rFonts w:cs="Arial"/>
          <w:sz w:val="16"/>
          <w:szCs w:val="16"/>
        </w:rPr>
        <w:t>3.9. Primera cotización a la nueva administradora</w:t>
      </w:r>
      <w:bookmarkEnd w:id="11"/>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En el caso de los trabajadores dependientes, la primera autoliquidación y consignación de aportes a la nueva administradora debe realizarse en el mes siguiente al cual se hace efectivo el traslado, dentro de los plazos legalmente </w:t>
      </w:r>
      <w:r w:rsidRPr="0016486E">
        <w:rPr>
          <w:rFonts w:cs="Arial"/>
          <w:sz w:val="16"/>
          <w:szCs w:val="16"/>
        </w:rPr>
        <w:lastRenderedPageBreak/>
        <w:t>previstos para ello. A título de ejemplo, si el traslado surte efectos el 1 de agosto, la autoliquidación y consignación de aportes a la nueva administradora debe realizarse en septiembre, correspondiente a los aportes de agosto.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Tratándose de los trabajadores independientes, el primer pago de cotizaciones a la nueva administradora debe efectuarse en el mes en el cual se hace efectivo el traslado. Así, según el ejemplo citado, la primera consignación a la nueva administradora debe efectuarse en agosto.</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2" w:name="_Toc269947590"/>
      <w:r w:rsidRPr="0016486E">
        <w:rPr>
          <w:rFonts w:cs="Arial"/>
          <w:sz w:val="16"/>
          <w:szCs w:val="16"/>
        </w:rPr>
        <w:t>3.10. Documentos soporte de las solicitudes efectuadas</w:t>
      </w:r>
      <w:bookmarkEnd w:id="12"/>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Tanto la nueva administradora como aquella en la cual se encontraba afiliado el trabajador, deben mantener a disposición de la SFC los documentos que soporten las solicitudes de traslado presentadas con el propósito de que en cualquier momento pueda verificarse el cumplimiento efectivo de las instrucciones aquí contenidas.</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3" w:name="_Toc269947591"/>
      <w:r w:rsidRPr="0016486E">
        <w:rPr>
          <w:rFonts w:cs="Arial"/>
          <w:sz w:val="16"/>
          <w:szCs w:val="16"/>
        </w:rPr>
        <w:t>3.11. Realización de convenios particulares</w:t>
      </w:r>
      <w:bookmarkEnd w:id="13"/>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Las entidades administradoras de pensiones pueden celebrar convenios de carácter gremial o entre regímenes, con el propósito de lograr la agilización y seguridad del procedimiento, así como de la información que se obtenga en el trámite de los traslados.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todo caso, las administradoras son responsables del cumplimiento de los términos y condiciones establecidas en el presente numeral para los trámites de traslados.</w:t>
      </w:r>
    </w:p>
    <w:p w:rsidR="008A7483" w:rsidRPr="0016486E" w:rsidRDefault="008A7483" w:rsidP="00AF038A">
      <w:pPr>
        <w:rPr>
          <w:rFonts w:cs="Arial"/>
          <w:sz w:val="16"/>
          <w:szCs w:val="16"/>
        </w:rPr>
      </w:pPr>
    </w:p>
    <w:p w:rsidR="008A7483" w:rsidRPr="0016486E" w:rsidRDefault="008A7483" w:rsidP="007D722C">
      <w:pPr>
        <w:pStyle w:val="Ttulo2"/>
        <w:spacing w:before="0" w:after="0"/>
        <w:jc w:val="both"/>
        <w:rPr>
          <w:rFonts w:cs="Arial"/>
          <w:sz w:val="16"/>
          <w:szCs w:val="16"/>
        </w:rPr>
      </w:pPr>
      <w:bookmarkStart w:id="14" w:name="_Toc269947592"/>
      <w:r w:rsidRPr="0016486E">
        <w:rPr>
          <w:rFonts w:cs="Arial"/>
          <w:sz w:val="16"/>
          <w:szCs w:val="16"/>
        </w:rPr>
        <w:t xml:space="preserve">3.12. Rentabilidad </w:t>
      </w:r>
      <w:r w:rsidRPr="0016486E">
        <w:rPr>
          <w:rFonts w:cs="Arial"/>
          <w:bCs/>
          <w:sz w:val="16"/>
          <w:szCs w:val="16"/>
        </w:rPr>
        <w:t>en el traslado de recursos del régimen solidario de prima media con prestación definida al régimen de ahorro individual con solidaridad</w:t>
      </w:r>
      <w:bookmarkEnd w:id="14"/>
      <w:r w:rsidRPr="0016486E">
        <w:rPr>
          <w:rFonts w:cs="Arial"/>
          <w:sz w:val="16"/>
          <w:szCs w:val="16"/>
        </w:rPr>
        <w:t xml:space="preserve"> </w:t>
      </w:r>
    </w:p>
    <w:p w:rsidR="008A7483" w:rsidRPr="0016486E" w:rsidRDefault="008A7483" w:rsidP="00AF038A">
      <w:pPr>
        <w:widowControl w:val="0"/>
        <w:autoSpaceDE w:val="0"/>
        <w:autoSpaceDN w:val="0"/>
        <w:adjustRightInd w:val="0"/>
        <w:ind w:right="-200"/>
        <w:rPr>
          <w:rFonts w:cs="Arial"/>
          <w:sz w:val="16"/>
          <w:szCs w:val="16"/>
          <w:lang w:val="es-ES"/>
        </w:rPr>
      </w:pPr>
    </w:p>
    <w:p w:rsidR="008A7483" w:rsidRPr="0016486E" w:rsidRDefault="008A7483" w:rsidP="00AF038A">
      <w:pPr>
        <w:rPr>
          <w:rFonts w:cs="Arial"/>
          <w:sz w:val="16"/>
          <w:szCs w:val="16"/>
          <w:lang w:val="es-ES"/>
        </w:rPr>
      </w:pPr>
      <w:r w:rsidRPr="0016486E">
        <w:rPr>
          <w:rFonts w:cs="Arial"/>
          <w:sz w:val="16"/>
          <w:szCs w:val="16"/>
          <w:lang w:val="es-ES"/>
        </w:rPr>
        <w:t>La rentabilidad mensual a tener en cuenta para calcular la rentabilidad acumulada del período que se requiera, debe establecerse mediante la aplicación siguiente fórmula:</w:t>
      </w:r>
    </w:p>
    <w:p w:rsidR="008A7483" w:rsidRPr="0016486E" w:rsidRDefault="008A7483" w:rsidP="00AF038A">
      <w:pPr>
        <w:rPr>
          <w:rFonts w:cs="Arial"/>
          <w:sz w:val="16"/>
          <w:szCs w:val="16"/>
          <w:lang w:val="es-ES"/>
        </w:rPr>
      </w:pP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D</w:t>
      </w:r>
      <w:r w:rsidR="0016486E">
        <w:rPr>
          <w:rFonts w:cs="Arial"/>
          <w:sz w:val="16"/>
          <w:szCs w:val="16"/>
          <w:lang w:val="es-ES"/>
        </w:rPr>
        <w:t>ó</w:t>
      </w:r>
      <w:r w:rsidRPr="0016486E">
        <w:rPr>
          <w:rFonts w:cs="Arial"/>
          <w:sz w:val="16"/>
          <w:szCs w:val="16"/>
          <w:lang w:val="es-ES"/>
        </w:rPr>
        <w:t>nde:</w:t>
      </w:r>
    </w:p>
    <w:p w:rsidR="008A7483" w:rsidRPr="0016486E" w:rsidRDefault="008A7483" w:rsidP="00AF038A">
      <w:pPr>
        <w:widowControl w:val="0"/>
        <w:autoSpaceDE w:val="0"/>
        <w:autoSpaceDN w:val="0"/>
        <w:adjustRightInd w:val="0"/>
        <w:ind w:right="-200"/>
        <w:rPr>
          <w:rFonts w:cs="Arial"/>
          <w:sz w:val="16"/>
          <w:szCs w:val="16"/>
          <w:lang w:val="es-ES"/>
        </w:rPr>
      </w:pP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R</w:t>
      </w:r>
      <w:r w:rsidRPr="0016486E">
        <w:rPr>
          <w:rFonts w:cs="Arial"/>
          <w:sz w:val="16"/>
          <w:szCs w:val="16"/>
          <w:vertAlign w:val="subscript"/>
          <w:lang w:val="es-ES"/>
        </w:rPr>
        <w:t>A</w:t>
      </w:r>
      <w:r w:rsidRPr="0016486E">
        <w:rPr>
          <w:rFonts w:cs="Arial"/>
          <w:sz w:val="16"/>
          <w:szCs w:val="16"/>
          <w:lang w:val="es-ES"/>
        </w:rPr>
        <w:t xml:space="preserve">     = </w:t>
      </w:r>
      <w:r w:rsidRPr="0016486E">
        <w:rPr>
          <w:rFonts w:cs="Arial"/>
          <w:sz w:val="16"/>
          <w:szCs w:val="16"/>
          <w:lang w:val="es-ES"/>
        </w:rPr>
        <w:tab/>
      </w:r>
      <w:r w:rsidRPr="0016486E">
        <w:rPr>
          <w:rFonts w:cs="Arial"/>
          <w:sz w:val="16"/>
          <w:szCs w:val="16"/>
          <w:lang w:val="es-ES"/>
        </w:rPr>
        <w:tab/>
        <w:t>Rentabilidad acumulada del período a calcular</w:t>
      </w:r>
    </w:p>
    <w:p w:rsidR="008A7483" w:rsidRPr="0016486E" w:rsidRDefault="008A7483" w:rsidP="00AF038A">
      <w:pPr>
        <w:widowControl w:val="0"/>
        <w:autoSpaceDE w:val="0"/>
        <w:autoSpaceDN w:val="0"/>
        <w:adjustRightInd w:val="0"/>
        <w:ind w:left="1416" w:right="51" w:hanging="1416"/>
        <w:rPr>
          <w:rFonts w:cs="Arial"/>
          <w:sz w:val="16"/>
          <w:szCs w:val="16"/>
          <w:lang w:val="es-ES"/>
        </w:rPr>
      </w:pPr>
      <w:r w:rsidRPr="0016486E">
        <w:rPr>
          <w:rFonts w:cs="Arial"/>
          <w:sz w:val="16"/>
          <w:szCs w:val="16"/>
          <w:lang w:val="es-ES"/>
        </w:rPr>
        <w:t>R</w:t>
      </w:r>
      <w:r w:rsidRPr="0016486E">
        <w:rPr>
          <w:rFonts w:cs="Arial"/>
          <w:sz w:val="16"/>
          <w:szCs w:val="16"/>
          <w:vertAlign w:val="subscript"/>
          <w:lang w:val="es-ES"/>
        </w:rPr>
        <w:t xml:space="preserve">Mi </w:t>
      </w:r>
      <w:r w:rsidRPr="0016486E">
        <w:rPr>
          <w:rFonts w:cs="Arial"/>
          <w:sz w:val="16"/>
          <w:szCs w:val="16"/>
          <w:lang w:val="es-ES"/>
        </w:rPr>
        <w:t xml:space="preserve">    = </w:t>
      </w:r>
      <w:r w:rsidRPr="0016486E">
        <w:rPr>
          <w:rFonts w:cs="Arial"/>
          <w:sz w:val="16"/>
          <w:szCs w:val="16"/>
          <w:lang w:val="es-ES"/>
        </w:rPr>
        <w:tab/>
        <w:t xml:space="preserve">Rentabilidad divulgada por la SFC para cada uno de los meses que componen el período de cálculo. </w:t>
      </w:r>
    </w:p>
    <w:p w:rsidR="008A7483" w:rsidRPr="0016486E" w:rsidRDefault="008A7483" w:rsidP="00AF038A">
      <w:pPr>
        <w:widowControl w:val="0"/>
        <w:autoSpaceDE w:val="0"/>
        <w:autoSpaceDN w:val="0"/>
        <w:adjustRightInd w:val="0"/>
        <w:ind w:left="708" w:right="-200" w:firstLine="708"/>
        <w:rPr>
          <w:rFonts w:cs="Arial"/>
          <w:sz w:val="16"/>
          <w:szCs w:val="16"/>
          <w:lang w:val="es-ES"/>
        </w:rPr>
      </w:pPr>
      <w:r w:rsidRPr="0016486E">
        <w:rPr>
          <w:rFonts w:cs="Arial"/>
          <w:sz w:val="16"/>
          <w:szCs w:val="16"/>
          <w:lang w:val="es-ES"/>
        </w:rPr>
        <w:t>i=1,2,…,n</w:t>
      </w:r>
    </w:p>
    <w:p w:rsidR="008A7483" w:rsidRPr="0016486E" w:rsidRDefault="008A7483" w:rsidP="00AF038A">
      <w:pPr>
        <w:widowControl w:val="0"/>
        <w:autoSpaceDE w:val="0"/>
        <w:autoSpaceDN w:val="0"/>
        <w:adjustRightInd w:val="0"/>
        <w:ind w:right="-200"/>
        <w:rPr>
          <w:rFonts w:cs="Arial"/>
          <w:sz w:val="16"/>
          <w:szCs w:val="16"/>
          <w:lang w:val="es-ES"/>
        </w:rPr>
      </w:pPr>
    </w:p>
    <w:p w:rsidR="008A7483" w:rsidRPr="0016486E" w:rsidRDefault="008A7483" w:rsidP="00AF038A">
      <w:pPr>
        <w:widowControl w:val="0"/>
        <w:autoSpaceDE w:val="0"/>
        <w:autoSpaceDN w:val="0"/>
        <w:adjustRightInd w:val="0"/>
        <w:ind w:right="51"/>
        <w:rPr>
          <w:rFonts w:cs="Arial"/>
          <w:sz w:val="16"/>
          <w:szCs w:val="16"/>
          <w:lang w:val="es-ES"/>
        </w:rPr>
      </w:pPr>
      <w:r w:rsidRPr="0016486E">
        <w:rPr>
          <w:rFonts w:cs="Arial"/>
          <w:sz w:val="16"/>
          <w:szCs w:val="16"/>
          <w:lang w:val="es-ES"/>
        </w:rPr>
        <w:t>En el evento en que dentro del período de cálculo se presente una fracción de mes, la rentabilidad de los respectivos días se establecerá mediante la aplicación de la siguiente fórmula:</w:t>
      </w:r>
    </w:p>
    <w:p w:rsidR="008A7483" w:rsidRPr="0016486E" w:rsidRDefault="008A7483" w:rsidP="00AF038A">
      <w:pPr>
        <w:widowControl w:val="0"/>
        <w:autoSpaceDE w:val="0"/>
        <w:autoSpaceDN w:val="0"/>
        <w:adjustRightInd w:val="0"/>
        <w:ind w:right="-200"/>
        <w:jc w:val="center"/>
        <w:rPr>
          <w:rFonts w:cs="Arial"/>
          <w:sz w:val="16"/>
          <w:szCs w:val="16"/>
          <w:lang w:val="es-ES"/>
        </w:rPr>
      </w:pPr>
    </w:p>
    <w:p w:rsidR="008A7483" w:rsidRPr="0016486E" w:rsidRDefault="0016486E" w:rsidP="00AF038A">
      <w:pPr>
        <w:widowControl w:val="0"/>
        <w:autoSpaceDE w:val="0"/>
        <w:autoSpaceDN w:val="0"/>
        <w:adjustRightInd w:val="0"/>
        <w:ind w:right="-200"/>
        <w:rPr>
          <w:rFonts w:cs="Arial"/>
          <w:sz w:val="16"/>
          <w:szCs w:val="16"/>
          <w:lang w:val="es-ES"/>
        </w:rPr>
      </w:pPr>
      <w:r w:rsidRPr="0016486E">
        <w:rPr>
          <w:rFonts w:cs="Arial"/>
          <w:sz w:val="16"/>
          <w:szCs w:val="16"/>
          <w:lang w:val="es-ES"/>
        </w:rPr>
        <w:t>Dónde</w:t>
      </w:r>
      <w:r w:rsidR="008A7483" w:rsidRPr="0016486E">
        <w:rPr>
          <w:rFonts w:cs="Arial"/>
          <w:sz w:val="16"/>
          <w:szCs w:val="16"/>
          <w:lang w:val="es-ES"/>
        </w:rPr>
        <w:t xml:space="preserve">: </w:t>
      </w:r>
    </w:p>
    <w:p w:rsidR="008A7483" w:rsidRPr="0016486E" w:rsidRDefault="008A7483" w:rsidP="00AF038A">
      <w:pPr>
        <w:widowControl w:val="0"/>
        <w:autoSpaceDE w:val="0"/>
        <w:autoSpaceDN w:val="0"/>
        <w:adjustRightInd w:val="0"/>
        <w:ind w:right="-200"/>
        <w:rPr>
          <w:rFonts w:cs="Arial"/>
          <w:sz w:val="16"/>
          <w:szCs w:val="16"/>
          <w:lang w:val="es-ES"/>
        </w:rPr>
      </w:pP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R</w:t>
      </w:r>
      <w:r w:rsidRPr="0016486E">
        <w:rPr>
          <w:rFonts w:cs="Arial"/>
          <w:sz w:val="16"/>
          <w:szCs w:val="16"/>
          <w:vertAlign w:val="subscript"/>
          <w:lang w:val="es-ES"/>
        </w:rPr>
        <w:t>Mx</w:t>
      </w:r>
      <w:r w:rsidRPr="0016486E">
        <w:rPr>
          <w:rFonts w:cs="Arial"/>
          <w:sz w:val="16"/>
          <w:szCs w:val="16"/>
          <w:lang w:val="es-ES"/>
        </w:rPr>
        <w:t xml:space="preserve"> </w:t>
      </w:r>
      <w:r w:rsidRPr="0016486E">
        <w:rPr>
          <w:rFonts w:cs="Arial"/>
          <w:sz w:val="16"/>
          <w:szCs w:val="16"/>
          <w:lang w:val="es-ES"/>
        </w:rPr>
        <w:tab/>
        <w:t xml:space="preserve">= </w:t>
      </w:r>
      <w:r w:rsidRPr="0016486E">
        <w:rPr>
          <w:rFonts w:cs="Arial"/>
          <w:sz w:val="16"/>
          <w:szCs w:val="16"/>
          <w:lang w:val="es-ES"/>
        </w:rPr>
        <w:tab/>
        <w:t>Rentabilidad equivalente para los n días calendario del mes</w:t>
      </w: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R</w:t>
      </w:r>
      <w:r w:rsidRPr="0016486E">
        <w:rPr>
          <w:rFonts w:cs="Arial"/>
          <w:sz w:val="16"/>
          <w:szCs w:val="16"/>
          <w:vertAlign w:val="subscript"/>
          <w:lang w:val="es-ES"/>
        </w:rPr>
        <w:t>M</w:t>
      </w:r>
      <w:r w:rsidRPr="0016486E">
        <w:rPr>
          <w:rFonts w:cs="Arial"/>
          <w:sz w:val="16"/>
          <w:szCs w:val="16"/>
          <w:lang w:val="es-ES"/>
        </w:rPr>
        <w:t xml:space="preserve"> </w:t>
      </w:r>
      <w:r w:rsidRPr="0016486E">
        <w:rPr>
          <w:rFonts w:cs="Arial"/>
          <w:sz w:val="16"/>
          <w:szCs w:val="16"/>
          <w:lang w:val="es-ES"/>
        </w:rPr>
        <w:tab/>
        <w:t xml:space="preserve">= </w:t>
      </w:r>
      <w:r w:rsidRPr="0016486E">
        <w:rPr>
          <w:rFonts w:cs="Arial"/>
          <w:sz w:val="16"/>
          <w:szCs w:val="16"/>
          <w:lang w:val="es-ES"/>
        </w:rPr>
        <w:tab/>
        <w:t>Rentabilidad divulgada por la SFC para el mes</w:t>
      </w: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 xml:space="preserve">n     </w:t>
      </w:r>
      <w:r w:rsidRPr="0016486E">
        <w:rPr>
          <w:rFonts w:cs="Arial"/>
          <w:sz w:val="16"/>
          <w:szCs w:val="16"/>
          <w:lang w:val="es-ES"/>
        </w:rPr>
        <w:tab/>
        <w:t xml:space="preserve">= </w:t>
      </w:r>
      <w:r w:rsidRPr="0016486E">
        <w:rPr>
          <w:rFonts w:cs="Arial"/>
          <w:sz w:val="16"/>
          <w:szCs w:val="16"/>
          <w:lang w:val="es-ES"/>
        </w:rPr>
        <w:tab/>
        <w:t xml:space="preserve">Número de días calendario a tener en cuenta </w:t>
      </w:r>
    </w:p>
    <w:p w:rsidR="008A7483" w:rsidRPr="0016486E" w:rsidRDefault="008A7483" w:rsidP="00AF038A">
      <w:pPr>
        <w:widowControl w:val="0"/>
        <w:autoSpaceDE w:val="0"/>
        <w:autoSpaceDN w:val="0"/>
        <w:adjustRightInd w:val="0"/>
        <w:ind w:right="-200"/>
        <w:rPr>
          <w:rFonts w:cs="Arial"/>
          <w:sz w:val="16"/>
          <w:szCs w:val="16"/>
          <w:lang w:val="es-ES"/>
        </w:rPr>
      </w:pPr>
      <w:r w:rsidRPr="0016486E">
        <w:rPr>
          <w:rFonts w:cs="Arial"/>
          <w:sz w:val="16"/>
          <w:szCs w:val="16"/>
          <w:lang w:val="es-ES"/>
        </w:rPr>
        <w:t xml:space="preserve">ndm </w:t>
      </w:r>
      <w:r w:rsidRPr="0016486E">
        <w:rPr>
          <w:rFonts w:cs="Arial"/>
          <w:sz w:val="16"/>
          <w:szCs w:val="16"/>
          <w:lang w:val="es-ES"/>
        </w:rPr>
        <w:tab/>
        <w:t xml:space="preserve">= </w:t>
      </w:r>
      <w:r w:rsidRPr="0016486E">
        <w:rPr>
          <w:rFonts w:cs="Arial"/>
          <w:sz w:val="16"/>
          <w:szCs w:val="16"/>
          <w:lang w:val="es-ES"/>
        </w:rPr>
        <w:tab/>
        <w:t xml:space="preserve">Número de días calendario del mes del cálculo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Las rentabilidades mensuales divulgadas por la SFC, se calculan de acuerdo con lo dispuesto para el tipo de fondo moderado en la Opción A, en los términos del parágrafo 2 del art. 2.6.5.1.2 del Decreto 2555 de 2010, tomando como período de cálculo el número de días calendario del respectivo mes.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Ahora bien, como quiera que de conformidad con el numeral 2 del art. 2.6.5.1.10 del Decreto 2555 de 2010, la primera verificación de rentabilidad mínima obligatoria para el tipo de fondo moderado se debe realizar a partir del 31 de agosto de 2014, hasta dicha fecha las rentabilidades mensuales se calculan teniendo en cuenta lo establecido en el numeral 2  del art. 2.6.5.1.2 del mismo decreto, disminuido en un 35%.</w:t>
      </w:r>
    </w:p>
    <w:p w:rsidR="008A7483" w:rsidRPr="0016486E" w:rsidRDefault="008A7483" w:rsidP="00AF038A">
      <w:pPr>
        <w:rPr>
          <w:rFonts w:cs="Arial"/>
          <w:sz w:val="16"/>
          <w:szCs w:val="16"/>
        </w:rPr>
      </w:pPr>
    </w:p>
    <w:p w:rsidR="00504010" w:rsidRPr="0016486E" w:rsidRDefault="00504010" w:rsidP="00AF038A">
      <w:pPr>
        <w:rPr>
          <w:rFonts w:cs="Arial"/>
          <w:sz w:val="16"/>
          <w:szCs w:val="16"/>
        </w:rPr>
      </w:pPr>
    </w:p>
    <w:p w:rsidR="008A7483" w:rsidRPr="0016486E" w:rsidRDefault="008A7483" w:rsidP="00511218">
      <w:pPr>
        <w:pStyle w:val="Ttulo1"/>
        <w:spacing w:before="0" w:after="0"/>
        <w:jc w:val="both"/>
        <w:rPr>
          <w:rFonts w:cs="Arial"/>
          <w:sz w:val="16"/>
          <w:szCs w:val="16"/>
        </w:rPr>
      </w:pPr>
      <w:bookmarkStart w:id="15" w:name="_Toc269947593"/>
      <w:r w:rsidRPr="0016486E">
        <w:rPr>
          <w:rFonts w:cs="Arial"/>
          <w:caps/>
          <w:sz w:val="16"/>
          <w:szCs w:val="16"/>
        </w:rPr>
        <w:t>4. TRASLADO DE RÉGIMEN PENSIONAL EN LOS TÉRMINOS DE LA SENTENCIA SU 062 DE 2010 DE LA CORTE CONSTITUCIONAL</w:t>
      </w:r>
      <w:r w:rsidRPr="0016486E">
        <w:rPr>
          <w:rFonts w:cs="Arial"/>
          <w:b w:val="0"/>
          <w:caps/>
          <w:sz w:val="16"/>
          <w:szCs w:val="16"/>
        </w:rPr>
        <w:t xml:space="preserve"> </w:t>
      </w:r>
      <w:r w:rsidRPr="0016486E">
        <w:rPr>
          <w:rFonts w:cs="Arial"/>
          <w:caps/>
          <w:sz w:val="16"/>
          <w:szCs w:val="16"/>
        </w:rPr>
        <w:t>PARA EL CASO DE AFILIADOS BENEFICIARIOS DEL RÉGIMEN DE TRANSICIÓN SIN EL CUMPLIMIENTO DE LOS TÉRMINOS LEGALES DE TRASLADO</w:t>
      </w:r>
      <w:bookmarkEnd w:id="15"/>
      <w:r w:rsidRPr="0016486E" w:rsidDel="002771EE">
        <w:rPr>
          <w:rFonts w:cs="Arial"/>
          <w:caps/>
          <w:sz w:val="16"/>
          <w:szCs w:val="16"/>
        </w:rPr>
        <w:t xml:space="preserve"> </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Para efectos de dar aplicación a lo establecido en la Sentencia SU 062 de 2010 proferida por la Corte Constitucional, las administradoras del SGP deben adelantar el procedimiento que se describe a continuación:</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6" w:name="_Toc269947594"/>
      <w:r w:rsidRPr="0016486E">
        <w:rPr>
          <w:rFonts w:cs="Arial"/>
          <w:sz w:val="16"/>
          <w:szCs w:val="16"/>
        </w:rPr>
        <w:t>4.1. Solicitud de aplicación de la Sentencia SU 062 de 2010 y diligenciamiento del formulario de traslado</w:t>
      </w:r>
      <w:bookmarkEnd w:id="16"/>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Cuando el afiliado al RAIS desee que se le aplique la jurisprudencia establecida en el mencionado fallo debe expresar su voluntad mediante el diligenciamiento y entrega del formulario de traslado a Colpensiones, antes ISS, acompañado de una comunicación en la que manifieste su intención de acogerse a la referida sentencia y de una fotocopia de su documento de identificación.</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7" w:name="_Toc269947595"/>
      <w:r w:rsidRPr="0016486E">
        <w:rPr>
          <w:rFonts w:cs="Arial"/>
          <w:sz w:val="16"/>
          <w:szCs w:val="16"/>
        </w:rPr>
        <w:t>4.2. Reporte de solicitudes de traslado</w:t>
      </w:r>
      <w:bookmarkEnd w:id="17"/>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día 10 de cada mes, Colpensiones debe radicar ante las respectivas sociedades administradoras de fondos de pensiones los formularios de traslado de estos afiliados que haya recibido en el mes inmediatamente anterior, para lo cual utilizará el aplicativo establecido para tal fin, informando a cada sociedad administradora y por cada afiliado, el número de semanas que, de acuerdo con la correspondiente historia laboral de Colpensiones</w:t>
      </w:r>
      <w:r w:rsidR="00504010" w:rsidRPr="0016486E">
        <w:rPr>
          <w:rFonts w:cs="Arial"/>
          <w:sz w:val="16"/>
          <w:szCs w:val="16"/>
        </w:rPr>
        <w:t xml:space="preserve">, </w:t>
      </w:r>
      <w:r w:rsidRPr="0016486E">
        <w:rPr>
          <w:rFonts w:cs="Arial"/>
          <w:sz w:val="16"/>
          <w:szCs w:val="16"/>
        </w:rPr>
        <w:t>anterior ISS, había cotizado el afiliado al 31 de marzo de 1994 o a la fecha en que haya entrado en vigencia el SGP en el respectivo nivel territorial, según corresponda.</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Debe tenerse en cuenta que la fecha de entrada en vigencia del SGP en el nivel territorial debía ser determinada por la autoridad competente, sin exceder del 30 de junio de 1995.</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8" w:name="_Toc269947596"/>
      <w:r w:rsidRPr="0016486E">
        <w:rPr>
          <w:rFonts w:cs="Arial"/>
          <w:sz w:val="16"/>
          <w:szCs w:val="16"/>
        </w:rPr>
        <w:t>4.3. Requisitos a verificar</w:t>
      </w:r>
      <w:bookmarkEnd w:id="18"/>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 sociedad administradora de fondos de pensiones que reciba el formulario de traslado, debe verificar que se cumplan los requisitos -señalados en la Sentencia SU 062 de 2010-, a saber:</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lastRenderedPageBreak/>
        <w:t>4.3.1. Que el afiliado, a la fecha de entrada en vigencia del SGP, es decir el 1 de abril de 1994, o a la fecha en que haya entrado en vigencia el SGP en el respectivo nivel territorial, tuviera 15 años de servicios cotizados para la pensión de vejez, equivalentes a 750 semanas.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4.3.2. Que traslade a Colpensiones, todos los aportes pensionales (ahorro) que haya acumulado en su cuenta de ahorro individual.</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4.3.3. Que el ahorro efectuado en el RAIS, incluidos sus rendimientos y el valor correspondiente del fondo de garantía de pensión mínima del referido régimen, no sea inferior al monto total que habría obtenido en caso que hubiere permanecido en el RPMPD.</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19" w:name="_Toc269947597"/>
      <w:r w:rsidRPr="0016486E">
        <w:rPr>
          <w:rFonts w:cs="Arial"/>
          <w:sz w:val="16"/>
          <w:szCs w:val="16"/>
        </w:rPr>
        <w:t>4.4. Verificación del cumplimiento de los requisitos</w:t>
      </w:r>
      <w:bookmarkEnd w:id="19"/>
    </w:p>
    <w:p w:rsidR="008A7483" w:rsidRPr="0016486E" w:rsidRDefault="008A7483" w:rsidP="00AF038A">
      <w:pPr>
        <w:pStyle w:val="Ttulo2"/>
        <w:spacing w:before="0" w:after="0"/>
        <w:rPr>
          <w:rFonts w:cs="Arial"/>
          <w:sz w:val="16"/>
          <w:szCs w:val="16"/>
        </w:rPr>
      </w:pPr>
    </w:p>
    <w:p w:rsidR="008A7483" w:rsidRPr="0016486E" w:rsidRDefault="008A7483" w:rsidP="00AF038A">
      <w:pPr>
        <w:rPr>
          <w:rFonts w:cs="Arial"/>
          <w:sz w:val="16"/>
          <w:szCs w:val="16"/>
        </w:rPr>
      </w:pPr>
      <w:r w:rsidRPr="0016486E">
        <w:rPr>
          <w:rFonts w:cs="Arial"/>
          <w:sz w:val="16"/>
          <w:szCs w:val="16"/>
        </w:rPr>
        <w:t>Contra la radicación del formulario de traslado, la sociedad administradora de fondos de pensiones debe informar a Colpensiones, mediante el aplicat</w:t>
      </w:r>
      <w:r w:rsidR="00504010" w:rsidRPr="0016486E">
        <w:rPr>
          <w:rFonts w:cs="Arial"/>
          <w:sz w:val="16"/>
          <w:szCs w:val="16"/>
        </w:rPr>
        <w:t>ivo establecido para tal fin, si</w:t>
      </w:r>
      <w:r w:rsidRPr="0016486E">
        <w:rPr>
          <w:rFonts w:cs="Arial"/>
          <w:sz w:val="16"/>
          <w:szCs w:val="16"/>
        </w:rPr>
        <w:t xml:space="preserve"> el afiliado cumple o no con el requisito señalado en el subnumeral 4.3.1. Para este efecto, la sociedad debe tener en cuenta, además de las semanas reportadas por Colpensiones, antes el ISS, en la solicitud de traslado, las que tenga registradas como cotizadas o el tiempo de servicio prestado en las entidades que no realizaron aportes para pensión a dicha  entidad o instituto. En caso de no cumplirse este requisito, la solicitud de traslado será rechazada.</w:t>
      </w:r>
    </w:p>
    <w:p w:rsidR="008A7483" w:rsidRPr="0016486E" w:rsidRDefault="008A7483" w:rsidP="00AF038A">
      <w:pPr>
        <w:rPr>
          <w:rFonts w:cs="Arial"/>
          <w:sz w:val="16"/>
          <w:szCs w:val="16"/>
        </w:rPr>
      </w:pPr>
      <w:r w:rsidRPr="0016486E">
        <w:rPr>
          <w:rFonts w:cs="Arial"/>
          <w:sz w:val="16"/>
          <w:szCs w:val="16"/>
        </w:rPr>
        <w:t xml:space="preserve"> </w:t>
      </w:r>
    </w:p>
    <w:p w:rsidR="008A7483" w:rsidRPr="0016486E" w:rsidRDefault="008A7483" w:rsidP="00AF038A">
      <w:pPr>
        <w:rPr>
          <w:rFonts w:cs="Arial"/>
          <w:sz w:val="16"/>
          <w:szCs w:val="16"/>
        </w:rPr>
      </w:pPr>
      <w:r w:rsidRPr="0016486E">
        <w:rPr>
          <w:rFonts w:cs="Arial"/>
          <w:sz w:val="16"/>
          <w:szCs w:val="16"/>
        </w:rPr>
        <w:t>Verificado el cumplimiento del requisito anterior, la sociedad administradora de fondos de pensiones debe efectuar el cálculo de la equivalencia del ahorro entre el régimen de prima media y el de ahorro individual, estableciendo si la</w:t>
      </w:r>
      <w:r w:rsidRPr="0016486E">
        <w:rPr>
          <w:rFonts w:cs="Arial"/>
          <w:b/>
          <w:sz w:val="16"/>
          <w:szCs w:val="16"/>
        </w:rPr>
        <w:t xml:space="preserve"> </w:t>
      </w:r>
      <w:r w:rsidRPr="0016486E">
        <w:rPr>
          <w:rFonts w:cs="Arial"/>
          <w:sz w:val="16"/>
          <w:szCs w:val="16"/>
        </w:rPr>
        <w:t>suma acumulada en la cuenta de ahorro individual del afiliado es suficiente o equivalente a la que hubiera obtenido si el afiliado hubiese permanecido en el RPMPD.</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A más tardar el día 23 del mes de la radicación del formulario de traslado ante la sociedad administradora de fondos de pensiones, ésta mediante el aplicativo establecido para tal fin, debe informar a Colpensiones el resultado de las validaciones realizadas, indicando:</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4.4.1. Las solicitudes que fueron rechazadas por incumplimiento del requisito señalado en el subnumeral 4.3.1.</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4.4.2. Las solicitudes que fueron aprobadas por el cumplimiento del requisito señalado en el subnumeral 4.3.1. y por el cumplimiento del cálculo de equivalencia señalado en el subnumeral 4.3.3.</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4.4.3. Las solicitudes que cumpliendo con el requisito señalado en el subnumeral 4.3.1., no cumplen con el requisito del subnumeral 4.3.3., indicando en este caso el valor de la diferencia que debe ser consignada por el afiliado.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Simultáneamente, entre el día 23 y el 30 del mes de la radicación del formulario de traslado ante la sociedad administradora de fondos de pensiones, ésta notificará al afiliado los resultados del proceso, de lo cual debe dejar constancia.</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A aquellas solicitudes que, cumpliendo con el requisito señalado en el subnumeral 4.3.1, no cumplan con el requisito establecido en el subnumeral 4.3.3. es decir que el saldo de la cuenta de ahorro individual del afiliado es menor al resultado del cálculo efectuado por la sociedad administradora de fondos de pensiones, la notificación mediante comunicación escrita al afiliado, debe indicar lo siguiente:</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4.4.4. Que a partir de la fecha de la comunicación, el afiliado t</w:t>
      </w:r>
      <w:r w:rsidR="006814BF" w:rsidRPr="0016486E">
        <w:rPr>
          <w:rFonts w:cs="Arial"/>
          <w:sz w:val="16"/>
          <w:szCs w:val="16"/>
        </w:rPr>
        <w:t>iene</w:t>
      </w:r>
      <w:r w:rsidRPr="0016486E">
        <w:rPr>
          <w:rFonts w:cs="Arial"/>
          <w:sz w:val="16"/>
          <w:szCs w:val="16"/>
        </w:rPr>
        <w:t xml:space="preserve"> un plazo que esta Superintendencia estima razonable de 2 meses para consignar a favor de Colpensiones el valor de la diferencia. En esta comunicación se le debe indicar la entidad bancaria, el número de la cuenta, los medios de pago aceptados y el procedimiento para efectuar la consignación.</w:t>
      </w:r>
      <w:r w:rsidRPr="0016486E" w:rsidDel="00396FB7">
        <w:rPr>
          <w:rFonts w:cs="Arial"/>
          <w:sz w:val="16"/>
          <w:szCs w:val="16"/>
        </w:rPr>
        <w:t xml:space="preserve">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todo caso las entidades administradoras de pensiones pueden establecer, de manera general, un plazo diferente al señalado en el inciso anterior, previa información a esta Superintendencia justificando su razonabilidad.</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valor de la diferencia que debe consignar el afiliado como requisito para la aprobación del traslado no está sujeto a las variaciones de la rentabilidad de los fondos de pensiones en el plazo establecido para el efecto.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4.4.5. Que dentro del mismo plazo, el afiliado debe comprobar ante la sociedad administradora de fondos de pensiones, la realización de la consignación, entregando copia legible de la misma a la administradora de pensiones de la cual pretende trasladarse.</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4.4.6. Que si el afiliado no llegare a pagar o paga de manera parcial la referida diferencia dentro del plazo señalado, el traslado debe ser rechazado y Colpensiones debe devolver al afiliado los dineros recibidos por este concepto, dentro del mes siguiente al rechazo del traslado, para lo cual debe informar al afiliado respecto de la disponibilidad de los recursos.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día 23 de cada mes, la sociedad administradora de fondos de pensiones debe revisar los casos sobre los que haya recibido la copia de la consignación y, de resultar procedente, debe aprobar los traslados a través del aplicativo establecido para tal fin, entregando a Colpensiones copia digitalizada de la consignación realizada por el afiliado.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Igualmente debe revisar los casos sobre los que habiéndose cumplido el plazo de 2 meses no haya recibido la copia de la consignación y procederá a su rechazo informando de tal hecho a Colpensiones, a través del aplicativo establecido para tal fin y al afiliado, quien puede presentar una nueva solicitud de traslado en los términos de la referida Sentencia.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Si el afiliado con posterioridad a los 2 meses establecidos como plazo razonable, demuestra haber consignado en tiempo y en debida forma el valor de la diferencia, aun cuando su solicitud de traslado hubiese sido rechazada, la administradora de fondos de pensiones, a partir de la fecha de la comprobación, debe proceder a aprobar el traslado en las condiciones establecidas en este subnumeral. </w:t>
      </w:r>
    </w:p>
    <w:p w:rsidR="008A7483" w:rsidRPr="0016486E" w:rsidRDefault="008A7483" w:rsidP="00AF038A">
      <w:pPr>
        <w:rPr>
          <w:rFonts w:cs="Arial"/>
          <w:b/>
          <w:sz w:val="16"/>
          <w:szCs w:val="16"/>
        </w:rPr>
      </w:pPr>
    </w:p>
    <w:p w:rsidR="008A7483" w:rsidRPr="0016486E" w:rsidRDefault="008A7483" w:rsidP="00AF038A">
      <w:pPr>
        <w:pStyle w:val="Ttulo2"/>
        <w:spacing w:before="0" w:after="0"/>
        <w:rPr>
          <w:rFonts w:cs="Arial"/>
          <w:sz w:val="16"/>
          <w:szCs w:val="16"/>
        </w:rPr>
      </w:pPr>
      <w:bookmarkStart w:id="20" w:name="_Toc269947598"/>
      <w:r w:rsidRPr="0016486E">
        <w:rPr>
          <w:rFonts w:cs="Arial"/>
          <w:sz w:val="16"/>
          <w:szCs w:val="16"/>
        </w:rPr>
        <w:t>4.5. Efectividad del traslado</w:t>
      </w:r>
      <w:bookmarkEnd w:id="20"/>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 xml:space="preserve">Una vez aprobado el traslado, ya sea por el cumplimiento de los requisitos mencionados o por la consignación de la diferencia por parte del afiliado, la sociedad administradora de fondos de pensiones debe girar a Colpensiones el saldo que posea el afiliado en su cuenta de ahorro individual, a más tardar, el día 20 del mes siguiente a la aprobación. La sociedad administradora de fondos de pensiones debe informarle a Colpensiones, de manera detallada e individualizada por afiliado, el monto girado, el número de semanas de cotización a que corresponde, y debe remitir su historia laboral debidamente actualizada. </w:t>
      </w:r>
    </w:p>
    <w:p w:rsidR="008A7483" w:rsidRPr="0016486E" w:rsidRDefault="008A7483" w:rsidP="00AF038A">
      <w:pPr>
        <w:rPr>
          <w:rFonts w:cs="Arial"/>
          <w:b/>
          <w:sz w:val="16"/>
          <w:szCs w:val="16"/>
        </w:rPr>
      </w:pPr>
      <w:r w:rsidRPr="0016486E">
        <w:rPr>
          <w:rFonts w:cs="Arial"/>
          <w:sz w:val="16"/>
          <w:szCs w:val="16"/>
        </w:rPr>
        <w:lastRenderedPageBreak/>
        <w:t>De conformidad con lo establecido en el art. 42 del Decreto 1406 de 1999 el traslado que cumpla con los requisitos señalados en los subnumerales 4.3.1 y 4.3.3, tendrá efectos a partir del primer día calendario del segundo mes siguiente a la fecha de presentación de la solicitud de traslado. Así mismo, cuando el traslado es aprobado posteriormente por consignación realizada por el afiliado, producirá efectos a partir del primer día calendario del segundo mes siguiente a la fecha de su aprobación</w:t>
      </w:r>
      <w:r w:rsidRPr="0016486E">
        <w:rPr>
          <w:rFonts w:cs="Arial"/>
          <w:b/>
          <w:sz w:val="16"/>
          <w:szCs w:val="16"/>
        </w:rPr>
        <w:t xml:space="preserve">. </w:t>
      </w:r>
    </w:p>
    <w:p w:rsidR="008A7483" w:rsidRPr="0016486E" w:rsidRDefault="008A7483" w:rsidP="00AF038A">
      <w:pPr>
        <w:pStyle w:val="Ttulo2"/>
        <w:spacing w:before="0" w:after="0"/>
        <w:rPr>
          <w:rFonts w:cs="Arial"/>
          <w:sz w:val="16"/>
          <w:szCs w:val="16"/>
          <w:lang w:eastAsia="es-CO"/>
        </w:rPr>
      </w:pPr>
    </w:p>
    <w:p w:rsidR="008A7483" w:rsidRPr="0016486E" w:rsidRDefault="008A7483" w:rsidP="00AF038A">
      <w:pPr>
        <w:pStyle w:val="Ttulo2"/>
        <w:spacing w:before="0" w:after="0"/>
        <w:rPr>
          <w:rFonts w:cs="Arial"/>
          <w:sz w:val="16"/>
          <w:szCs w:val="16"/>
        </w:rPr>
      </w:pPr>
      <w:bookmarkStart w:id="21" w:name="_Toc269947599"/>
      <w:r w:rsidRPr="0016486E">
        <w:rPr>
          <w:rFonts w:cs="Arial"/>
          <w:sz w:val="16"/>
          <w:szCs w:val="16"/>
          <w:lang w:eastAsia="es-CO"/>
        </w:rPr>
        <w:t>4</w:t>
      </w:r>
      <w:r w:rsidRPr="0016486E">
        <w:rPr>
          <w:rFonts w:cs="Arial"/>
          <w:sz w:val="16"/>
          <w:szCs w:val="16"/>
        </w:rPr>
        <w:t>.6. Marcación de la base de datos de Colpensiones - antes ISS-</w:t>
      </w:r>
      <w:bookmarkEnd w:id="21"/>
    </w:p>
    <w:p w:rsidR="008A7483" w:rsidRPr="0016486E" w:rsidRDefault="008A7483" w:rsidP="00AF038A">
      <w:pPr>
        <w:keepNext/>
        <w:rPr>
          <w:rFonts w:cs="Arial"/>
          <w:b/>
          <w:sz w:val="16"/>
          <w:szCs w:val="16"/>
        </w:rPr>
      </w:pPr>
    </w:p>
    <w:p w:rsidR="008A7483" w:rsidRPr="0016486E" w:rsidRDefault="008A7483" w:rsidP="00AF038A">
      <w:pPr>
        <w:keepNext/>
        <w:rPr>
          <w:rFonts w:cs="Arial"/>
          <w:sz w:val="16"/>
          <w:szCs w:val="16"/>
        </w:rPr>
      </w:pPr>
      <w:r w:rsidRPr="0016486E">
        <w:rPr>
          <w:rFonts w:cs="Arial"/>
          <w:sz w:val="16"/>
          <w:szCs w:val="16"/>
        </w:rPr>
        <w:t>Colpensiones debe realizar una marcación en su base de datos, identificando que los afiliados cuyo traslado se ha autorizado, son beneficiarios del régimen de transición.</w:t>
      </w:r>
    </w:p>
    <w:p w:rsidR="008A7483" w:rsidRPr="0016486E" w:rsidRDefault="008A7483" w:rsidP="00AF038A">
      <w:pPr>
        <w:rPr>
          <w:rFonts w:cs="Arial"/>
          <w:b/>
          <w:sz w:val="16"/>
          <w:szCs w:val="16"/>
        </w:rPr>
      </w:pPr>
    </w:p>
    <w:p w:rsidR="008A7483" w:rsidRPr="0016486E" w:rsidRDefault="008A7483" w:rsidP="00AF038A">
      <w:pPr>
        <w:pStyle w:val="Ttulo2"/>
        <w:spacing w:before="0" w:after="0"/>
        <w:rPr>
          <w:rFonts w:cs="Arial"/>
          <w:sz w:val="16"/>
          <w:szCs w:val="16"/>
        </w:rPr>
      </w:pPr>
      <w:bookmarkStart w:id="22" w:name="_Toc269947600"/>
      <w:r w:rsidRPr="0016486E">
        <w:rPr>
          <w:rFonts w:cs="Arial"/>
          <w:sz w:val="16"/>
          <w:szCs w:val="16"/>
        </w:rPr>
        <w:t>4.7. Aplicación del procedimiento en otras administradoras del RPMPD</w:t>
      </w:r>
      <w:bookmarkEnd w:id="22"/>
    </w:p>
    <w:p w:rsidR="008A7483" w:rsidRPr="0016486E" w:rsidRDefault="008A7483" w:rsidP="00AF038A">
      <w:pPr>
        <w:pStyle w:val="Ttulo2"/>
        <w:spacing w:before="0" w:after="0"/>
        <w:rPr>
          <w:rFonts w:cs="Arial"/>
          <w:sz w:val="16"/>
          <w:szCs w:val="16"/>
        </w:rPr>
      </w:pPr>
    </w:p>
    <w:p w:rsidR="008A7483" w:rsidRPr="0016486E" w:rsidRDefault="008A7483" w:rsidP="00AF038A">
      <w:pPr>
        <w:rPr>
          <w:rFonts w:cs="Arial"/>
          <w:sz w:val="16"/>
          <w:szCs w:val="16"/>
        </w:rPr>
      </w:pPr>
      <w:r w:rsidRPr="0016486E">
        <w:rPr>
          <w:rFonts w:cs="Arial"/>
          <w:sz w:val="16"/>
          <w:szCs w:val="16"/>
        </w:rPr>
        <w:t>El procedimiento señalado en este numeral es aplicable también a las administradoras del RPMPD diferentes a Colpensiones, antes el ISS, caso en el cual la respectiva entidad debe convenir con las administradoras del RAIS el procedimiento requerido para cumplir con las disposiciones de esta Circular, el cual debe ser informado a esta Superintendencia.</w:t>
      </w:r>
    </w:p>
    <w:p w:rsidR="008A7483" w:rsidRPr="0016486E" w:rsidRDefault="008A7483" w:rsidP="00AF038A">
      <w:pPr>
        <w:rPr>
          <w:rFonts w:cs="Arial"/>
          <w:sz w:val="16"/>
          <w:szCs w:val="16"/>
        </w:rPr>
      </w:pPr>
    </w:p>
    <w:p w:rsidR="001F4F01" w:rsidRPr="0016486E" w:rsidRDefault="001F4F01" w:rsidP="00AF038A">
      <w:pPr>
        <w:rPr>
          <w:rFonts w:cs="Arial"/>
          <w:sz w:val="16"/>
          <w:szCs w:val="16"/>
        </w:rPr>
      </w:pPr>
    </w:p>
    <w:p w:rsidR="008A7483" w:rsidRPr="0016486E" w:rsidRDefault="008A7483" w:rsidP="009D1305">
      <w:pPr>
        <w:pStyle w:val="Ttulo1"/>
        <w:spacing w:before="0" w:after="0"/>
        <w:jc w:val="both"/>
        <w:rPr>
          <w:rFonts w:cs="Arial"/>
          <w:b w:val="0"/>
          <w:sz w:val="16"/>
          <w:szCs w:val="16"/>
        </w:rPr>
      </w:pPr>
      <w:bookmarkStart w:id="23" w:name="_Toc269947601"/>
      <w:r w:rsidRPr="0016486E">
        <w:rPr>
          <w:rFonts w:cs="Arial"/>
          <w:sz w:val="16"/>
          <w:szCs w:val="16"/>
        </w:rPr>
        <w:t>5. TRASLADO DE RECURSOS E INTERCAMBIO DE INFORMACIÓN ENTRE ENTIDADES ADMINISTRADORAS DEL SISTEMA GENERAL DE PENSIONES (SGP) Y LA ENTIDAD ADMINISTRADORA DEL SERVICIO SOCIAL COMPLEMENTARIO DE BENEFICIOS ECONÓMICOS PERIÓDICOS – BEPS</w:t>
      </w:r>
      <w:bookmarkEnd w:id="23"/>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Las administradoras del SGP y la entidad administradora del Servicio Social Complementario de Beneficios Económicos Periódicos – BEPS deben informar a los afiliados o vinculados, según sea el caso, sobre la existencia y características del mecanismo BEPS, los requisitos de ingreso al mismo, los usos que pueden dar a los recursos ahorrados, y brindar la asesoría sobre sus potenciales riesgos y beneficios, en concordancia con lo establecido en los arts. 12 y 16 del Decreto 604 de 2013. Asimismo deben suministrar la información respecto del procedimiento para solicitar el traslado de los recursos.</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La persona (que para efectos de este numeral</w:t>
      </w:r>
      <w:r w:rsidRPr="0016486E">
        <w:rPr>
          <w:rFonts w:cs="Arial"/>
          <w:sz w:val="16"/>
          <w:szCs w:val="16"/>
          <w:lang w:val="es-ES"/>
        </w:rPr>
        <w:t xml:space="preserve"> </w:t>
      </w:r>
      <w:r w:rsidRPr="0016486E">
        <w:rPr>
          <w:rFonts w:cs="Arial"/>
          <w:sz w:val="16"/>
          <w:szCs w:val="16"/>
        </w:rPr>
        <w:t xml:space="preserve">se denominará, el solicitante), que decida trasladar sus recursos del SGP a la administradora del mecanismo BEPS o viceversa, de conformidad con lo dispuesto en el art. 16 del mencionado Decreto, debe realizar la solicitud ante la administradora del mecanismo BEPS, o ante la administradora del SGP donde tenga los recursos, para lo cual debe diligenciar el formulario único de traslado. </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La administradora del mecanismo BEPS y las administradoras del SGP deben acordar el contenido del referido formulario. Sin perjuicio de lo anterior, es responsabilidad de la administradora del mecanismo BEPS presentarlo ante esta Superintendencia con el fin de obtener la respectiva aprobación, de manera previa a su utilización.</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En todo caso, el formulario debe permitir la identificación de la causal de traslado de acuerdo con lo establecido en el art. 16 del Decreto 604 de 2013, y debe quedar constancia que el solicitante recibió de parte de la administradora la asesoría requerida así como la información suficiente, y que en consecuencia, entiende y acepta los efectos legales así como los potenciales riesgos y beneficios de su solicitud de traslado, en concordancia con los principios establecidos en las normas relacionadas con protección al consumidor financiero.</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556CD2">
      <w:pPr>
        <w:tabs>
          <w:tab w:val="left" w:pos="720"/>
          <w:tab w:val="left" w:pos="1064"/>
          <w:tab w:val="left" w:pos="2057"/>
        </w:tabs>
        <w:ind w:right="51"/>
        <w:rPr>
          <w:rFonts w:cs="Arial"/>
          <w:sz w:val="16"/>
          <w:szCs w:val="16"/>
        </w:rPr>
      </w:pPr>
      <w:r w:rsidRPr="0016486E">
        <w:rPr>
          <w:rFonts w:cs="Arial"/>
          <w:sz w:val="16"/>
          <w:szCs w:val="16"/>
        </w:rPr>
        <w:t xml:space="preserve">Se entiende que existe solicitud de traslado de recursos e información por parte del solicitante, desde el momento en que éste radique el mencionado formulario ante la respectiva administradora. </w:t>
      </w:r>
    </w:p>
    <w:p w:rsidR="00556CD2" w:rsidRPr="0016486E" w:rsidRDefault="00556CD2" w:rsidP="00556CD2">
      <w:pPr>
        <w:pStyle w:val="Ttulo2"/>
        <w:spacing w:before="0" w:after="0"/>
        <w:rPr>
          <w:rFonts w:cs="Arial"/>
          <w:sz w:val="16"/>
          <w:szCs w:val="16"/>
        </w:rPr>
      </w:pPr>
    </w:p>
    <w:p w:rsidR="008A7483" w:rsidRPr="0016486E" w:rsidRDefault="008A7483" w:rsidP="00556CD2">
      <w:pPr>
        <w:pStyle w:val="Ttulo2"/>
        <w:spacing w:before="0" w:after="0"/>
        <w:rPr>
          <w:rFonts w:cs="Arial"/>
          <w:sz w:val="16"/>
          <w:szCs w:val="16"/>
        </w:rPr>
      </w:pPr>
      <w:bookmarkStart w:id="24" w:name="_Toc269947602"/>
      <w:r w:rsidRPr="0016486E">
        <w:rPr>
          <w:rFonts w:cs="Arial"/>
          <w:sz w:val="16"/>
          <w:szCs w:val="16"/>
        </w:rPr>
        <w:t>5.1 Reporte de solicitudes de traslado de recursos</w:t>
      </w:r>
      <w:bookmarkEnd w:id="24"/>
    </w:p>
    <w:p w:rsidR="008A7483" w:rsidRPr="0016486E" w:rsidRDefault="008A7483" w:rsidP="00556CD2">
      <w:pPr>
        <w:tabs>
          <w:tab w:val="left" w:pos="720"/>
          <w:tab w:val="left" w:pos="1064"/>
          <w:tab w:val="left" w:pos="2057"/>
        </w:tabs>
        <w:ind w:right="51"/>
        <w:rPr>
          <w:rFonts w:cs="Arial"/>
          <w:b/>
          <w:bCs/>
          <w:iCs/>
          <w:sz w:val="16"/>
          <w:szCs w:val="16"/>
          <w:lang w:val="es-ES" w:eastAsia="es-ES"/>
        </w:rPr>
      </w:pPr>
    </w:p>
    <w:p w:rsidR="008A7483" w:rsidRPr="0016486E" w:rsidRDefault="008A7483" w:rsidP="00FE629F">
      <w:pPr>
        <w:tabs>
          <w:tab w:val="left" w:pos="720"/>
          <w:tab w:val="left" w:pos="1064"/>
          <w:tab w:val="left" w:pos="2057"/>
        </w:tabs>
        <w:ind w:right="51"/>
        <w:rPr>
          <w:rFonts w:cs="Arial"/>
          <w:sz w:val="16"/>
          <w:szCs w:val="16"/>
        </w:rPr>
      </w:pPr>
      <w:r w:rsidRPr="0016486E">
        <w:rPr>
          <w:rFonts w:cs="Arial"/>
          <w:sz w:val="16"/>
          <w:szCs w:val="16"/>
        </w:rPr>
        <w:t>La administradora que reciba la solicitud de traslado debe informar, a más tardar el tercer día hábil de cada mes, a la administradora a la cual se desean trasladar los recursos acerca de las solicitudes de traslado radicadas en el mes inmediatamente anterior. Para estos efectos, la administradora que reciba la solicitud de traslado debe elaborar un reporte relacionando los nombres de los solicitantes con su identificación, junto con las copias de los respectivos formularios de solicitud de traslado, dejando constancia de la fecha en que se efectúa el reporte, atendiendo para el efecto las disposiciones aplicables en materia de protección de datos personales. El referido reporte puede ser remitido en medio magnético o electrónico.</w:t>
      </w:r>
    </w:p>
    <w:p w:rsidR="00FE629F" w:rsidRPr="0016486E" w:rsidRDefault="00FE629F" w:rsidP="00FE629F">
      <w:pPr>
        <w:tabs>
          <w:tab w:val="left" w:pos="720"/>
          <w:tab w:val="left" w:pos="1064"/>
          <w:tab w:val="left" w:pos="2057"/>
        </w:tabs>
        <w:ind w:right="51"/>
        <w:rPr>
          <w:rFonts w:cs="Arial"/>
          <w:sz w:val="16"/>
          <w:szCs w:val="16"/>
        </w:rPr>
      </w:pPr>
    </w:p>
    <w:p w:rsidR="008A7483" w:rsidRPr="0016486E" w:rsidRDefault="008A7483" w:rsidP="00FE629F">
      <w:pPr>
        <w:pStyle w:val="Ttulo2"/>
        <w:spacing w:before="0" w:after="0"/>
        <w:rPr>
          <w:rFonts w:cs="Arial"/>
          <w:sz w:val="16"/>
          <w:szCs w:val="16"/>
        </w:rPr>
      </w:pPr>
      <w:bookmarkStart w:id="25" w:name="_Toc269947603"/>
      <w:r w:rsidRPr="0016486E">
        <w:rPr>
          <w:rFonts w:cs="Arial"/>
          <w:sz w:val="16"/>
          <w:szCs w:val="16"/>
        </w:rPr>
        <w:t>5.2 Informe sobre la evaluación de las solicitudes de traslado por parte de las administradoras</w:t>
      </w:r>
      <w:bookmarkEnd w:id="25"/>
    </w:p>
    <w:p w:rsidR="008A7483" w:rsidRPr="0016486E" w:rsidRDefault="008A7483" w:rsidP="00FE629F">
      <w:pPr>
        <w:tabs>
          <w:tab w:val="left" w:pos="720"/>
          <w:tab w:val="left" w:pos="1064"/>
          <w:tab w:val="left" w:pos="2057"/>
        </w:tabs>
        <w:ind w:right="51"/>
        <w:rPr>
          <w:rFonts w:cs="Arial"/>
          <w:sz w:val="16"/>
          <w:szCs w:val="16"/>
        </w:rPr>
      </w:pPr>
      <w:r w:rsidRPr="0016486E">
        <w:rPr>
          <w:rFonts w:cs="Arial"/>
          <w:sz w:val="16"/>
          <w:szCs w:val="16"/>
        </w:rPr>
        <w:t xml:space="preserve"> </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La administradora a la cual se desea trasladar el solicitante, una vez reciba el reporte de solicitudes de traslado, debe evaluar cada solicitud en relación con el cumplimiento de los requisitos establecidos para su procedencia. Realizada dicha evaluación debe informar tanto al solicitante como a la administradora de la que se desean trasladar los recursos, acerca de la procedencia o no de la solicitud, a más tardar dentro de los 10 días hábiles siguientes a la fecha en que recibió el mencionado reporte. Para estos efectos la administradora debe elaborar una comunicación que contenga como mínimo la siguiente información, respecto de cada solicitud:</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5.2.1. Fecha de recepción de la solicitud</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 xml:space="preserve">5.2.2. Nombre y apellidos del solicitante </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5.2.3. Género</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5.2.4. Tipo y número del documento de identificación</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5.2.5. Causal del traslado</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5.2.6. Fecha de evaluación del cumplimiento de los requisitos asociados a la solicitud</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5.2.7. Procedencia o improcedencia de la solicitud. En este último caso, se deben indicar las razones por las cuales no procede.</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5.2.8. Nombre, cargo y firma del funcionario responsable de la evaluación.</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FE629F">
      <w:pPr>
        <w:tabs>
          <w:tab w:val="left" w:pos="720"/>
          <w:tab w:val="left" w:pos="1064"/>
          <w:tab w:val="left" w:pos="2057"/>
        </w:tabs>
        <w:ind w:right="51"/>
        <w:rPr>
          <w:rFonts w:cs="Arial"/>
          <w:sz w:val="16"/>
          <w:szCs w:val="16"/>
        </w:rPr>
      </w:pPr>
      <w:r w:rsidRPr="0016486E">
        <w:rPr>
          <w:rFonts w:cs="Arial"/>
          <w:sz w:val="16"/>
          <w:szCs w:val="16"/>
        </w:rPr>
        <w:t>La referida comunicación puede ser remitida en medio magnético o electrónico.</w:t>
      </w:r>
    </w:p>
    <w:p w:rsidR="00FE629F" w:rsidRPr="0016486E" w:rsidRDefault="00FE629F" w:rsidP="00FE629F">
      <w:pPr>
        <w:pStyle w:val="Ttulo2"/>
        <w:spacing w:before="0" w:after="0"/>
        <w:rPr>
          <w:rFonts w:cs="Arial"/>
          <w:sz w:val="16"/>
          <w:szCs w:val="16"/>
        </w:rPr>
      </w:pPr>
    </w:p>
    <w:p w:rsidR="008A7483" w:rsidRPr="0016486E" w:rsidRDefault="008A7483" w:rsidP="00FE629F">
      <w:pPr>
        <w:pStyle w:val="Ttulo2"/>
        <w:spacing w:before="0" w:after="0"/>
        <w:rPr>
          <w:rFonts w:cs="Arial"/>
          <w:sz w:val="16"/>
          <w:szCs w:val="16"/>
        </w:rPr>
      </w:pPr>
      <w:bookmarkStart w:id="26" w:name="_Toc269947604"/>
      <w:r w:rsidRPr="0016486E">
        <w:rPr>
          <w:rFonts w:cs="Arial"/>
          <w:sz w:val="16"/>
          <w:szCs w:val="16"/>
        </w:rPr>
        <w:t>5.3. Traslado de recursos e información entre administradoras</w:t>
      </w:r>
      <w:bookmarkEnd w:id="26"/>
    </w:p>
    <w:p w:rsidR="008A7483" w:rsidRPr="0016486E" w:rsidRDefault="008A7483" w:rsidP="00FE629F">
      <w:pPr>
        <w:keepNext/>
        <w:tabs>
          <w:tab w:val="left" w:pos="720"/>
          <w:tab w:val="left" w:pos="1064"/>
          <w:tab w:val="left" w:pos="2057"/>
        </w:tabs>
        <w:ind w:right="51"/>
        <w:rPr>
          <w:rFonts w:cs="Arial"/>
          <w:sz w:val="16"/>
          <w:szCs w:val="16"/>
        </w:rPr>
      </w:pPr>
    </w:p>
    <w:p w:rsidR="008A7483" w:rsidRPr="0016486E" w:rsidRDefault="008A7483" w:rsidP="009D1305">
      <w:pPr>
        <w:keepNext/>
        <w:tabs>
          <w:tab w:val="left" w:pos="720"/>
          <w:tab w:val="left" w:pos="1064"/>
          <w:tab w:val="left" w:pos="2057"/>
        </w:tabs>
        <w:ind w:right="51"/>
        <w:rPr>
          <w:rFonts w:cs="Arial"/>
          <w:sz w:val="16"/>
          <w:szCs w:val="16"/>
        </w:rPr>
      </w:pPr>
      <w:r w:rsidRPr="0016486E">
        <w:rPr>
          <w:rFonts w:cs="Arial"/>
          <w:sz w:val="16"/>
          <w:szCs w:val="16"/>
        </w:rPr>
        <w:t xml:space="preserve">La administradora responsable de realizar el traslado, dentro de los 5 días hábiles siguientes a la fecha en que recibió la comunicación acerca de la procedencia del mismo, debe transferir los recursos e información a la otra administradora, </w:t>
      </w:r>
      <w:r w:rsidRPr="0016486E">
        <w:rPr>
          <w:rFonts w:cs="Arial"/>
          <w:sz w:val="16"/>
          <w:szCs w:val="16"/>
        </w:rPr>
        <w:lastRenderedPageBreak/>
        <w:t>dejando para el efecto el respectivo soporte, el cual debe incluir como mínimo la siguiente información, respecto de cada solicitud:</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5.3.1. Fecha de traslado de los recursos</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5.3.2. Nombre y apellidos del solicitante</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5.3.3. Género</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5.3.4. Tipo y número del documento de identificación</w:t>
      </w: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5.3.5. Monto de los recursos transferidos</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Tratándose de recursos relacionados con devolución de saldos e indemnización sustitutiva, el plazo para la evaluación y traslado es el establecido en la ley para efectos del reconocimiento de estas prestaciones.</w:t>
      </w:r>
    </w:p>
    <w:p w:rsidR="008A7483" w:rsidRPr="0016486E" w:rsidRDefault="008A7483" w:rsidP="009D1305">
      <w:pPr>
        <w:tabs>
          <w:tab w:val="left" w:pos="720"/>
          <w:tab w:val="left" w:pos="1064"/>
          <w:tab w:val="left" w:pos="2057"/>
        </w:tabs>
        <w:ind w:right="51"/>
        <w:rPr>
          <w:rFonts w:cs="Arial"/>
          <w:sz w:val="16"/>
          <w:szCs w:val="16"/>
        </w:rPr>
      </w:pPr>
    </w:p>
    <w:p w:rsidR="008A7483" w:rsidRPr="0016486E" w:rsidRDefault="008A7483" w:rsidP="00795022">
      <w:pPr>
        <w:tabs>
          <w:tab w:val="left" w:pos="720"/>
          <w:tab w:val="left" w:pos="1064"/>
          <w:tab w:val="left" w:pos="2057"/>
        </w:tabs>
        <w:ind w:right="51"/>
        <w:rPr>
          <w:rFonts w:cs="Arial"/>
          <w:sz w:val="16"/>
          <w:szCs w:val="16"/>
        </w:rPr>
      </w:pPr>
      <w:r w:rsidRPr="0016486E">
        <w:rPr>
          <w:rFonts w:cs="Arial"/>
          <w:sz w:val="16"/>
          <w:szCs w:val="16"/>
        </w:rPr>
        <w:t>Las administradoras deben mantener a disposición de la SFC la documentación e información a que hace referencia el presente numeral, permitiendo su revisión en cualquier momento.</w:t>
      </w:r>
    </w:p>
    <w:p w:rsidR="00795022" w:rsidRPr="0016486E" w:rsidRDefault="00795022" w:rsidP="00795022">
      <w:pPr>
        <w:pStyle w:val="Ttulo2"/>
        <w:spacing w:before="0" w:after="0"/>
        <w:rPr>
          <w:rFonts w:cs="Arial"/>
          <w:sz w:val="16"/>
          <w:szCs w:val="16"/>
        </w:rPr>
      </w:pPr>
    </w:p>
    <w:p w:rsidR="008A7483" w:rsidRPr="0016486E" w:rsidRDefault="008A7483" w:rsidP="00795022">
      <w:pPr>
        <w:pStyle w:val="Ttulo2"/>
        <w:spacing w:before="0" w:after="0"/>
        <w:rPr>
          <w:rFonts w:cs="Arial"/>
          <w:sz w:val="16"/>
          <w:szCs w:val="16"/>
        </w:rPr>
      </w:pPr>
      <w:bookmarkStart w:id="27" w:name="_Toc269947605"/>
      <w:r w:rsidRPr="0016486E">
        <w:rPr>
          <w:rFonts w:cs="Arial"/>
          <w:sz w:val="16"/>
          <w:szCs w:val="16"/>
        </w:rPr>
        <w:t>5.4. Intercambio de información</w:t>
      </w:r>
      <w:bookmarkEnd w:id="27"/>
    </w:p>
    <w:p w:rsidR="008A7483" w:rsidRPr="0016486E" w:rsidRDefault="008A7483" w:rsidP="00795022">
      <w:pPr>
        <w:tabs>
          <w:tab w:val="left" w:pos="720"/>
          <w:tab w:val="left" w:pos="1064"/>
          <w:tab w:val="left" w:pos="2057"/>
        </w:tabs>
        <w:ind w:right="51"/>
        <w:rPr>
          <w:rFonts w:cs="Arial"/>
          <w:sz w:val="16"/>
          <w:szCs w:val="16"/>
        </w:rPr>
      </w:pPr>
    </w:p>
    <w:p w:rsidR="008A7483" w:rsidRPr="0016486E" w:rsidRDefault="008A7483" w:rsidP="009D1305">
      <w:pPr>
        <w:tabs>
          <w:tab w:val="left" w:pos="720"/>
          <w:tab w:val="left" w:pos="1064"/>
          <w:tab w:val="left" w:pos="2057"/>
        </w:tabs>
        <w:ind w:right="51"/>
        <w:rPr>
          <w:rFonts w:cs="Arial"/>
          <w:sz w:val="16"/>
          <w:szCs w:val="16"/>
        </w:rPr>
      </w:pPr>
      <w:r w:rsidRPr="0016486E">
        <w:rPr>
          <w:rFonts w:cs="Arial"/>
          <w:sz w:val="16"/>
          <w:szCs w:val="16"/>
        </w:rPr>
        <w:t xml:space="preserve">Entre las administradoras del SGP y la administradora del mecanismo BEPS se pueden suscribir convenios de intercambio de información con la finalidad exclusiva de facilitar el cumplimiento de las disposiciones establecidas en el presente numeral y de velar por los derechos de los vinculados y afiliados al sistema de protección para la vejez. Así mismo, se puede implementar el uso de herramientas tecnológicas para garantizar la eficiencia del procedimiento de traslado y el funcionamiento adecuado del mecanismo BEPS. </w:t>
      </w:r>
    </w:p>
    <w:p w:rsidR="008A7483" w:rsidRPr="0016486E" w:rsidRDefault="008A7483" w:rsidP="00AF038A">
      <w:pPr>
        <w:rPr>
          <w:rFonts w:cs="Arial"/>
          <w:sz w:val="16"/>
          <w:szCs w:val="16"/>
        </w:rPr>
      </w:pPr>
    </w:p>
    <w:p w:rsidR="008A7483" w:rsidRPr="0016486E" w:rsidRDefault="008A7483" w:rsidP="00AF038A">
      <w:pPr>
        <w:pStyle w:val="Ttulo1"/>
        <w:spacing w:before="0" w:after="0"/>
        <w:rPr>
          <w:rFonts w:cs="Arial"/>
          <w:sz w:val="16"/>
          <w:szCs w:val="16"/>
        </w:rPr>
      </w:pPr>
      <w:r w:rsidRPr="0016486E">
        <w:rPr>
          <w:rFonts w:cs="Arial"/>
          <w:sz w:val="16"/>
          <w:szCs w:val="16"/>
        </w:rPr>
        <w:t xml:space="preserve"> </w:t>
      </w:r>
    </w:p>
    <w:p w:rsidR="008A7483" w:rsidRPr="0016486E" w:rsidRDefault="008A7483" w:rsidP="00AF038A">
      <w:pPr>
        <w:pStyle w:val="Ttulo1"/>
        <w:spacing w:before="0" w:after="0"/>
        <w:rPr>
          <w:rFonts w:cs="Arial"/>
          <w:sz w:val="16"/>
          <w:szCs w:val="16"/>
        </w:rPr>
      </w:pPr>
      <w:bookmarkStart w:id="28" w:name="_Toc269947606"/>
      <w:r w:rsidRPr="0016486E">
        <w:rPr>
          <w:rStyle w:val="Refdecomentario"/>
          <w:rFonts w:cs="Arial"/>
          <w:caps/>
          <w:szCs w:val="16"/>
        </w:rPr>
        <w:t>6</w:t>
      </w:r>
      <w:r w:rsidRPr="0016486E">
        <w:rPr>
          <w:rFonts w:cs="Arial"/>
          <w:caps/>
          <w:sz w:val="16"/>
          <w:szCs w:val="16"/>
        </w:rPr>
        <w:t>. MÚLTIPLE VINCULACIÓN</w:t>
      </w:r>
      <w:bookmarkEnd w:id="28"/>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La aplicación de los criterios acá contenidos se debe efectuar sin perjuicio de lo establecido en el Decreto 3995 de 2008, el cual se aplica a los afiliados al SGP que al 31 de diciembre de 2007 se encontraban incursos en situación de múltiple vinculación entre el régimen de prima media con prestación definida y el de ahorro individual con solidaridad.</w:t>
      </w:r>
    </w:p>
    <w:p w:rsidR="008A7483" w:rsidRPr="0016486E" w:rsidRDefault="008A7483" w:rsidP="00AF038A">
      <w:pPr>
        <w:tabs>
          <w:tab w:val="left" w:pos="4680"/>
        </w:tabs>
        <w:rPr>
          <w:rFonts w:cs="Arial"/>
          <w:sz w:val="16"/>
          <w:szCs w:val="16"/>
        </w:rPr>
      </w:pPr>
    </w:p>
    <w:p w:rsidR="008A7483" w:rsidRPr="0016486E" w:rsidRDefault="008A7483" w:rsidP="00AF038A">
      <w:pPr>
        <w:tabs>
          <w:tab w:val="left" w:pos="4680"/>
        </w:tabs>
        <w:rPr>
          <w:rFonts w:cs="Arial"/>
          <w:sz w:val="16"/>
          <w:szCs w:val="16"/>
        </w:rPr>
      </w:pPr>
      <w:r w:rsidRPr="0016486E">
        <w:rPr>
          <w:rFonts w:cs="Arial"/>
          <w:sz w:val="16"/>
          <w:szCs w:val="16"/>
        </w:rPr>
        <w:t>Para los efectos aquí contenidos, cuando se haga referencia al término “afiliación” se entiende la realizada al SGP, en tanto que el término “vinculación” se reserva para la que se efectúa ante una determinada entidad administradora, sea ésta del RAIS o RPMPD.</w:t>
      </w:r>
    </w:p>
    <w:p w:rsidR="008A7483" w:rsidRPr="0016486E" w:rsidRDefault="008A7483" w:rsidP="00AF038A">
      <w:pPr>
        <w:tabs>
          <w:tab w:val="left" w:pos="4680"/>
        </w:tabs>
        <w:rPr>
          <w:rFonts w:cs="Arial"/>
          <w:sz w:val="16"/>
          <w:szCs w:val="16"/>
        </w:rPr>
      </w:pPr>
    </w:p>
    <w:p w:rsidR="008A7483" w:rsidRPr="0016486E" w:rsidRDefault="008A7483" w:rsidP="00AF038A">
      <w:pPr>
        <w:rPr>
          <w:rFonts w:cs="Arial"/>
          <w:sz w:val="16"/>
          <w:szCs w:val="16"/>
        </w:rPr>
      </w:pPr>
      <w:r w:rsidRPr="0016486E">
        <w:rPr>
          <w:rFonts w:cs="Arial"/>
          <w:sz w:val="16"/>
          <w:szCs w:val="16"/>
        </w:rPr>
        <w:t>En ese orden de ideas, ante conflictos presentados por múltiple vinculación, acorde con el art. 17 del Decreto 692 de 1994, las entidades administradoras de pensiones deben tener en cuenta las siguientes reglas:</w:t>
      </w:r>
    </w:p>
    <w:p w:rsidR="008A7483" w:rsidRPr="0016486E" w:rsidRDefault="008A7483" w:rsidP="00AF038A">
      <w:pPr>
        <w:rPr>
          <w:rFonts w:cs="Arial"/>
          <w:sz w:val="16"/>
          <w:szCs w:val="16"/>
        </w:rPr>
      </w:pPr>
    </w:p>
    <w:p w:rsidR="008A7483" w:rsidRPr="0016486E" w:rsidRDefault="008A7483" w:rsidP="00AF038A">
      <w:pPr>
        <w:tabs>
          <w:tab w:val="left" w:pos="4680"/>
        </w:tabs>
        <w:rPr>
          <w:rFonts w:cs="Arial"/>
          <w:sz w:val="16"/>
          <w:szCs w:val="16"/>
        </w:rPr>
      </w:pPr>
      <w:r w:rsidRPr="0016486E">
        <w:rPr>
          <w:rFonts w:cs="Arial"/>
          <w:sz w:val="16"/>
          <w:szCs w:val="16"/>
        </w:rPr>
        <w:t>Los trabajadores vinculados al Instituto de Seguros Sociales –ISS- al 31 de marzo de 1994, eran aquellos que a esa fecha no se encontraban en ninguna de las causales de desafiliación automática previstas en el art. 39 del Acuerdo 044 de 1989 y, por tal razón, son destinatarios de los efectos jurídicos establecidos en el inciso final del art. 11 del Decreto 692 de 1994, es decir, podían continuar en dicho Instituto sin necesidad de diligenciar ningún formulario o comunicación para hacer constar su vinculación; posibilidad igualmente predicable de los servidores públicos que se encontraban afiliados a una caja, fondo o entidad del sector público mientras no fuera ordenada su liquidación. En consecuencia, dichos trabajadores pueden ejercer en cualquier momento la opción de traslado.</w:t>
      </w:r>
    </w:p>
    <w:p w:rsidR="008A7483" w:rsidRPr="0016486E" w:rsidRDefault="008A7483" w:rsidP="00AF038A">
      <w:pPr>
        <w:tabs>
          <w:tab w:val="left" w:pos="4680"/>
        </w:tabs>
        <w:rPr>
          <w:rFonts w:cs="Arial"/>
          <w:b/>
          <w:sz w:val="16"/>
          <w:szCs w:val="16"/>
        </w:rPr>
      </w:pPr>
    </w:p>
    <w:p w:rsidR="008A7483" w:rsidRPr="0016486E" w:rsidRDefault="008A7483" w:rsidP="00AF038A">
      <w:pPr>
        <w:pStyle w:val="Ttulo2"/>
        <w:spacing w:before="0" w:after="0"/>
        <w:rPr>
          <w:rFonts w:cs="Arial"/>
          <w:sz w:val="16"/>
          <w:szCs w:val="16"/>
        </w:rPr>
      </w:pPr>
      <w:bookmarkStart w:id="29" w:name="_Toc269947607"/>
      <w:r w:rsidRPr="0016486E">
        <w:rPr>
          <w:rFonts w:cs="Arial"/>
          <w:sz w:val="16"/>
          <w:szCs w:val="16"/>
        </w:rPr>
        <w:t>6.1. Casos de múltiple vinculación</w:t>
      </w:r>
      <w:bookmarkEnd w:id="29"/>
      <w:r w:rsidRPr="0016486E">
        <w:rPr>
          <w:rFonts w:cs="Arial"/>
          <w:sz w:val="16"/>
          <w:szCs w:val="16"/>
        </w:rPr>
        <w:t xml:space="preserve">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Sin perjuicio de las disposiciones en materia de retracto, las entidades administradoras deben observar lo dispuesto en los subnumerales siguientes: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6.1.1. Personas que se encontraban vinculadas al entonces ISS al 31 de marzo de 1994, que con posterioridad a tal fecha diligenciaron un formulario de vinculación o ratificación ante el citado Instituto y antes de que transcurrieran 3 años (o 5 años con posterioridad a la entrada en vigencia de la Ley 797 de 2003) seleccionaron el RAIS.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Con fundamento en lo dispuesto en el inciso final del art. 11 del Decreto 692 de 1994 el trabajador vinculado a la fecha señalada al citado Instituto, podía continuar en el mismo sin necesidad de diligenciar ningún formulario o comunicación donde constara la vinculación, quedando por tanto facultado para ejercer la opción de traslado en cualquier momento.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tal sentido, tampoco debía entenderse como selección de régimen el diligenciamiento del formulario ante el ISS, realizado por parte del trabajador que habiéndose desvinculado laboralmente con posterioridad al 31 de marzo de 1994, decidió continuar cotizando al Instituto al vincularse nuevamente.</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consecuencia, el trabajador que encontrándose en cualesquiera de las situaciones descritas en el presente subnumeral, hubiera seleccionado el RAIS antes de que transcurrieran 3 o 5 años contados desde del diligenciamiento de la solicitud de vinculación o ratificación realizada ante el ISS, según corresponda, sin que hubiera sido necesario hacerlo, se entiende vinculado a la administradora del RAIS seleccionada o a la que hubiere seleccionado posteriormente de conformidad con los requisitos legales pertinentes.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6.1.2. Personas que no se encontraban vinculadas al entonces Instituto de Seguros Sociales al 31 de marzo de 1994, que con posterioridad a tal fecha diligenciaron formulario de vinculación ante el citado Instituto y antes de que transcurrieran 3 años (o 5 con posterioridad a la entrada en vigencia de la Ley 797 de 2003) seleccionaron el RAIS.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Frente a la hipótesis descrita, los trabajadores que seleccionaron, por primera vez, el Régimen de Prima Media con Prestación Definida y, por lo tanto, se entienden vinculados al entonces Instituto de Seguros Sociales y el diligenciamiento del formulario para vincularse a una administradora del RAIS antes de que transcurrieran 3 o 5 años contados a partir de la selección inicial, según corresponda a la fecha de selección del RAIS, no era jurídicamente procedente.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6.1.3. Personas que al vincularse a una entidad administradora diligenciaron un formulario que no se ajustaba a las disposiciones legales y antes de transcurrir los términos para el traslado se vincularon a otra entidad administradora.</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Si el formulario de vinculación diligenciado no se encontraba autorizado por la SFC o no contenía los datos mínimos legales y la entidad no se lo comunicó al solicitante y al empleador, dentro del mes siguiente a la solicitud con el fin de subsanarlos, la vinculación se entiende confirmada en los términos del art. 12 del citado Decreto 692 de 1994, siempre que el formulario hubiese sido suscrito por el solicitante, lo cual se tendrá como manifestación expresa de su voluntad. Por tal razón, si el </w:t>
      </w:r>
      <w:r w:rsidRPr="0016486E">
        <w:rPr>
          <w:rFonts w:cs="Arial"/>
          <w:sz w:val="16"/>
          <w:szCs w:val="16"/>
        </w:rPr>
        <w:lastRenderedPageBreak/>
        <w:t xml:space="preserve">trabajador se vinculó a otra entidad administradora antes de que transcurrieran los términos legalmente señalados para el traslado entre entidades o entre regímenes, se entenderá que se encuentra vinculado a la administradora ante la cual se confirmó inicialmente la respectiva vinculación.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 confirmación de la vinculación prevista en el art. 12 del Decreto 692 de 1994 no es aplicable a los reportes de novedades, considerando que dichos reportes no constituyen para el trabajador vinculación a las administradoras del SGP.</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6.1.4. Personas que en la misma fecha diligenciaron formularios de vinculación ante distintas entidades administradoras sin que pueda establecerse cuál se realizó primero.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esa situación se entenderá que el trabajador se encuentra vinculado a la entidad que esté recibiendo las cotizaciones correspondientes. Si el trabajador no está cotizando, se entenderá vinculado a la última entidad ante la cual cotizó.</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6.1.5. Personas que a la entrada en vigencia del SGP se encontraban vinculadas a una caja, fondo o entidad previsional del sector público o privado, posteriormente diligenciaron formulario de vinculación ante el entonces I</w:t>
      </w:r>
      <w:r w:rsidR="00795022" w:rsidRPr="0016486E">
        <w:rPr>
          <w:rFonts w:cs="Arial"/>
          <w:sz w:val="16"/>
          <w:szCs w:val="16"/>
        </w:rPr>
        <w:t>SS</w:t>
      </w:r>
      <w:r w:rsidRPr="0016486E">
        <w:rPr>
          <w:rFonts w:cs="Arial"/>
          <w:sz w:val="16"/>
          <w:szCs w:val="16"/>
        </w:rPr>
        <w:t xml:space="preserve"> y antes de que transcurrieran 3 años (o 5 años con posterioridad a la entrada en vigencia de la Ley 797 de 2003) a partir de dicho diligenciamiento seleccionaron el RAIS.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El trabajador debe  entenderse vinculado al entonces ISS al haber seleccionado el régimen de prima media con prestación definida y estaba en la obligación de esperar a que transcurrieran 3 años a partir de dicha selección o 5 años con posterioridad a la entrada en vigencia de la Ley 797 de 2003, para vincularse a una entidad administradora del RAIS.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Para los efectos de este subnumeral, el entonces ISS no debe entenderse incluido en la denominación genérica de caja, fondo o entidad previsional del sector público.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6.1.6. Personas que se encontraban vinculadas al entonces ISS al 31 de marzo de 1994, que con posterioridad a tal fecha se vincularon como servidores públicos a una entidad del nivel territorial y al entrar en vigencia el SGP en dicha entidad, seleccionaron el RAIS.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Estos trabajadores, por encontrarse en el supuesto previsto en el inciso final del art. 11 del Decreto 692 de 1994, podían ejercer su opción de traslado en cualquier momento y, por lo tanto, se entiende que seleccionaron el RAIS.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6.1.7. Personas que no se encontraban vinculadas al entonces ISS al 31 de marzo de 1994, que con posterioridad a tal fecha diligenciaron formulario de vinculación ante el citado Instituto, luego se vincularon como servidores públicos a una entidad del nivel territorial y al entrar en vigencia el sistema en dicha entidad, seleccionaron el RAIS antes de que transcurrieran 3 años desde la selección inicial o 5 años con posterioridad a la entrada en vigencia de la Ley 797 de 2003.</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Estos trabajadores no podían trasladarse antes de transcurridos 3 o 5 años, según corresponda, contados a partir de dicha selección.</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6.1.8. Trabajadores que no seleccionaron régimen a la entrada en vigencia del SGP, y sus cotizaciones fueron efectuadas por el empleador en varias entidades administradoras en desarrollo de lo previsto en el art. 25 del Decreto 692 de 1994, situación que no tiene el carácter de selección.</w:t>
      </w:r>
    </w:p>
    <w:p w:rsidR="008A7483" w:rsidRPr="0016486E" w:rsidDel="001443D9"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En tales eventos, mientras no se ejerza el derecho de selección, se entiende vinculado a la entidad ante la cual el empleador efectuó la primera cotización. </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0" w:name="_Toc269947608"/>
      <w:r w:rsidRPr="0016486E">
        <w:rPr>
          <w:rFonts w:cs="Arial"/>
          <w:sz w:val="16"/>
          <w:szCs w:val="16"/>
        </w:rPr>
        <w:t>6.2.  Cruce de información entre administradoras del SGP</w:t>
      </w:r>
      <w:bookmarkEnd w:id="30"/>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Es obligación de las entidades administradoras del SGP consultar el registro único de afiliados, RUAF, así como establecer y mantener sistemas de control previo de múltiple vinculación, cada vez que reciban una solicitud de vinculación.</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1" w:name="_Toc269947609"/>
      <w:r w:rsidRPr="0016486E">
        <w:rPr>
          <w:rFonts w:cs="Arial"/>
          <w:sz w:val="16"/>
          <w:szCs w:val="16"/>
        </w:rPr>
        <w:t>6.3. Deber de informar al trabajador y al empleador</w:t>
      </w:r>
      <w:bookmarkEnd w:id="31"/>
      <w:r w:rsidRPr="0016486E">
        <w:rPr>
          <w:rFonts w:cs="Arial"/>
          <w:sz w:val="16"/>
          <w:szCs w:val="16"/>
        </w:rPr>
        <w:t xml:space="preserve"> </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Dentro de un plazo máximo de 1 mes contado a partir de la fecha en que se solucione la múltiple vinculación, la entidad administradora a la cual se entienda vinculado el trabajador, debe informar expresamente tal circunstancia a éste y a su empleador o al trabajador independiente, según el caso, indicándole la obligación de continuar realizando los aportes correspondientes de acuerdo con las disposiciones vigentes.</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2" w:name="_Toc269947610"/>
      <w:r w:rsidRPr="0016486E">
        <w:rPr>
          <w:rFonts w:cs="Arial"/>
          <w:sz w:val="16"/>
          <w:szCs w:val="16"/>
        </w:rPr>
        <w:t>6.4. Otros casos de múltiple vinculación</w:t>
      </w:r>
      <w:bookmarkEnd w:id="32"/>
      <w:r w:rsidRPr="0016486E">
        <w:rPr>
          <w:rFonts w:cs="Arial"/>
          <w:sz w:val="16"/>
          <w:szCs w:val="16"/>
        </w:rPr>
        <w:t xml:space="preserve"> </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Sin perjuicio de la aplicación del Decreto 3995 de 2008, en el evento que resultaren situaciones específicas de múltiple vinculación que no puedan ser resueltas de acuerdo con las instrucciones impartidas en este presente numeral, las respectivas entidades</w:t>
      </w:r>
      <w:r w:rsidR="00156036" w:rsidRPr="0016486E">
        <w:rPr>
          <w:rFonts w:cs="Arial"/>
          <w:sz w:val="16"/>
          <w:szCs w:val="16"/>
        </w:rPr>
        <w:t xml:space="preserve"> deben poner</w:t>
      </w:r>
      <w:r w:rsidRPr="0016486E">
        <w:rPr>
          <w:rFonts w:cs="Arial"/>
          <w:sz w:val="16"/>
          <w:szCs w:val="16"/>
        </w:rPr>
        <w:t xml:space="preserve"> el caso en conocimiento de esta Superintendencia.</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3" w:name="_Toc269947611"/>
      <w:r w:rsidRPr="0016486E">
        <w:rPr>
          <w:rFonts w:cs="Arial"/>
          <w:sz w:val="16"/>
          <w:szCs w:val="16"/>
        </w:rPr>
        <w:t>6.5. Cumplimiento de los términos legales para el traslado de afiliados</w:t>
      </w:r>
      <w:bookmarkEnd w:id="33"/>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 xml:space="preserve">Con el fin de verificar el cumplimiento de los términos legales por parte de los trabajadores que manifiesten su voluntad de trasladarse de régimen o de administradora luego de solucionada la múltiple vinculación, los 3 o 5 años, según corresponda, o los 6 meses a partir de la selección anterior, se cuentan desde la fecha del diligenciamiento del formulario que soporte la vinculación ante la entidad a la cual se entienda pertenecer de acuerdo con lo dispuesto los subnumerales  anteriores. </w:t>
      </w:r>
    </w:p>
    <w:p w:rsidR="008A7483" w:rsidRPr="0016486E" w:rsidRDefault="008A7483" w:rsidP="00AF038A">
      <w:pPr>
        <w:rPr>
          <w:rFonts w:cs="Arial"/>
          <w:sz w:val="16"/>
          <w:szCs w:val="16"/>
        </w:rPr>
      </w:pPr>
    </w:p>
    <w:p w:rsidR="008A7483" w:rsidRPr="0016486E" w:rsidRDefault="008A7483" w:rsidP="00AF038A">
      <w:pPr>
        <w:pStyle w:val="Ttulo2"/>
        <w:spacing w:before="0" w:after="0"/>
        <w:rPr>
          <w:rFonts w:cs="Arial"/>
          <w:sz w:val="16"/>
          <w:szCs w:val="16"/>
        </w:rPr>
      </w:pPr>
      <w:bookmarkStart w:id="34" w:name="_Toc269947612"/>
      <w:r w:rsidRPr="0016486E">
        <w:rPr>
          <w:rFonts w:cs="Arial"/>
          <w:sz w:val="16"/>
          <w:szCs w:val="16"/>
        </w:rPr>
        <w:t>6.6. Solicitudes de reconocimiento de prestaciones</w:t>
      </w:r>
      <w:bookmarkEnd w:id="34"/>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ningún caso las entidades administradoras pueden desatender los principios y términos legalmente establecidos, so pretexto de estar el afiliado incurso en una situación de múltiple vinculación. En tal sentido, es deber de dichas entidades dar aplicación a las disposiciones contenidas en los arts. 5 y 6 del ya citado Decreto 3995 de 2008.</w:t>
      </w:r>
      <w:r w:rsidRPr="0016486E" w:rsidDel="00F97D49">
        <w:rPr>
          <w:rFonts w:cs="Arial"/>
          <w:sz w:val="16"/>
          <w:szCs w:val="16"/>
        </w:rPr>
        <w:t xml:space="preserve"> </w:t>
      </w:r>
    </w:p>
    <w:p w:rsidR="008A7483" w:rsidRPr="0016486E" w:rsidRDefault="008A7483" w:rsidP="00AF038A">
      <w:pPr>
        <w:rPr>
          <w:rFonts w:cs="Arial"/>
          <w:sz w:val="16"/>
          <w:szCs w:val="16"/>
        </w:rPr>
      </w:pPr>
      <w:r w:rsidRPr="0016486E">
        <w:rPr>
          <w:rFonts w:cs="Arial"/>
          <w:sz w:val="16"/>
          <w:szCs w:val="16"/>
        </w:rPr>
        <w:t xml:space="preserve"> </w:t>
      </w:r>
    </w:p>
    <w:p w:rsidR="008A7483" w:rsidRPr="0016486E" w:rsidRDefault="008A7483" w:rsidP="00AF038A">
      <w:pPr>
        <w:rPr>
          <w:rFonts w:cs="Arial"/>
          <w:sz w:val="16"/>
          <w:szCs w:val="16"/>
        </w:rPr>
      </w:pPr>
    </w:p>
    <w:p w:rsidR="008A7483" w:rsidRPr="0016486E" w:rsidRDefault="008A7483" w:rsidP="00AF038A">
      <w:pPr>
        <w:pStyle w:val="Ttulo1"/>
        <w:spacing w:before="0" w:after="0"/>
        <w:rPr>
          <w:rFonts w:cs="Arial"/>
          <w:sz w:val="16"/>
          <w:szCs w:val="16"/>
        </w:rPr>
      </w:pPr>
      <w:bookmarkStart w:id="35" w:name="_Toc269947613"/>
      <w:r w:rsidRPr="0016486E">
        <w:rPr>
          <w:rFonts w:cs="Arial"/>
          <w:sz w:val="16"/>
          <w:szCs w:val="16"/>
        </w:rPr>
        <w:t>7. DECLARACIÓN DE INGRESOS PERCIBIDOS</w:t>
      </w:r>
      <w:bookmarkEnd w:id="35"/>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 xml:space="preserve">Teniendo en cuenta que la suma base de cotización al SGP debe corresponder al monto de los ingresos que efectivamente perciba el afiliado; las personas naturales que presten directamente sus servicios al Estado o a las entidades o empresas </w:t>
      </w:r>
      <w:r w:rsidRPr="0016486E">
        <w:rPr>
          <w:rFonts w:cs="Arial"/>
          <w:sz w:val="16"/>
          <w:szCs w:val="16"/>
        </w:rPr>
        <w:lastRenderedPageBreak/>
        <w:t>del sector privado deben declarar a la administradora ante la cual se afilien, el monto de los ingresos que reciben para beneficio personal, bajo las condiciones señaladas por esta entidad, de acuerdo con lo establecido en el Decreto 510 de 2003.</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En consecuencia, es deber de las entidades administradoras del SGP, adoptar un formulario o documento que contenga en su totalidad la información y la descripción señaladas por la SFC en la proforma B.6000-10</w:t>
      </w:r>
      <w:r w:rsidR="008C3384" w:rsidRPr="0016486E">
        <w:rPr>
          <w:rFonts w:cs="Arial"/>
          <w:sz w:val="16"/>
          <w:szCs w:val="16"/>
        </w:rPr>
        <w:t xml:space="preserve"> que se encuentra en el Anexo 2 del presente Capítulo</w:t>
      </w:r>
      <w:r w:rsidRPr="0016486E">
        <w:rPr>
          <w:rFonts w:cs="Arial"/>
          <w:sz w:val="16"/>
          <w:szCs w:val="16"/>
        </w:rPr>
        <w:t>.</w:t>
      </w:r>
    </w:p>
    <w:p w:rsidR="008A7483" w:rsidRPr="0016486E" w:rsidRDefault="008A7483" w:rsidP="00AF038A">
      <w:pPr>
        <w:rPr>
          <w:rFonts w:cs="Arial"/>
          <w:b/>
          <w:sz w:val="16"/>
          <w:szCs w:val="16"/>
        </w:rPr>
      </w:pPr>
    </w:p>
    <w:p w:rsidR="008A7483" w:rsidRPr="0016486E" w:rsidRDefault="008A7483" w:rsidP="00AF038A">
      <w:pPr>
        <w:rPr>
          <w:rFonts w:cs="Arial"/>
          <w:b/>
          <w:sz w:val="16"/>
          <w:szCs w:val="16"/>
        </w:rPr>
      </w:pPr>
    </w:p>
    <w:p w:rsidR="008A7483" w:rsidRPr="0016486E" w:rsidRDefault="008A7483" w:rsidP="00AF038A">
      <w:pPr>
        <w:pStyle w:val="Ttulo1"/>
        <w:spacing w:before="0" w:after="0"/>
        <w:rPr>
          <w:rFonts w:cs="Arial"/>
          <w:sz w:val="16"/>
          <w:szCs w:val="16"/>
        </w:rPr>
      </w:pPr>
      <w:bookmarkStart w:id="36" w:name="_Toc269947614"/>
      <w:r w:rsidRPr="0016486E">
        <w:rPr>
          <w:rFonts w:cs="Arial"/>
          <w:sz w:val="16"/>
          <w:szCs w:val="16"/>
        </w:rPr>
        <w:t>8. REGLAS SOBRE RECONOCIMIENTO Y PAGO DE PENSIONES</w:t>
      </w:r>
      <w:bookmarkEnd w:id="36"/>
      <w:r w:rsidRPr="0016486E">
        <w:rPr>
          <w:rFonts w:cs="Arial"/>
          <w:sz w:val="16"/>
          <w:szCs w:val="16"/>
        </w:rPr>
        <w:t xml:space="preserve"> </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Para los efectos de lo dispuesto en el art. 33 de la Ley 100 de 1993, modificado por los arts. 9 de la Ley 747, 4 de la Ley 700 de 2001 y 1 de la Ley 717 de 2001, así como en la Ley 1574 de 2012 y la Ley 1580 de 2012, en concordancia con lo señalado por la Corte Constitucional en la Sentencia de Unificación 975 de 2003, y con el fin de que las entidades administradoras del SGP adelanten las diligencias de reconocimiento y pago de pensiones dentro de los plazos establecidos en dichas disposiciones, las mismas deben diseñar y adoptar formalmente un sistema interno de procedimientos, en el que, de acuerdo con la estructura organizacional de la entidad se establezcan tiempos y funcionarios responsables de adelantar los trámites y diligencias necesarias para el reconocimiento y pago de las pensiones a su cargo.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Cualquiera sea el sistema que se adopte para tal fin, en su diseño e implementación se deben tener en cuenta los siguientes parámetros: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8.1. Los plazos establecidos por las normas legales mencionadas constituyen únicamente los términos máximos para dar cumplimiento a los deberes en ellas consagrados. Lo anterior supone que en desarrollo del principio de eficiencia consagrado en el art. 2 de la Ley 100 de 1993, es deber de las entidades administradoras del SGP adelantar con agilidad los trámites necesarios para el reconocimiento y pago de las pensiones, de modo que los beneficiarios de las prestaciones pensionales tengan acceso al derecho a la seguridad social de manera adecuada, oportuna y suficiente.</w:t>
      </w:r>
    </w:p>
    <w:p w:rsidR="008A7483" w:rsidRPr="0016486E" w:rsidRDefault="008A7483" w:rsidP="00AF038A">
      <w:pPr>
        <w:rPr>
          <w:rFonts w:cs="Arial"/>
          <w:sz w:val="16"/>
          <w:szCs w:val="16"/>
        </w:rPr>
      </w:pPr>
      <w:r w:rsidRPr="0016486E">
        <w:rPr>
          <w:rFonts w:cs="Arial"/>
          <w:sz w:val="16"/>
          <w:szCs w:val="16"/>
        </w:rPr>
        <w:t xml:space="preserve"> </w:t>
      </w:r>
    </w:p>
    <w:p w:rsidR="008A7483" w:rsidRPr="0016486E" w:rsidRDefault="008A7483" w:rsidP="00AF038A">
      <w:pPr>
        <w:rPr>
          <w:rFonts w:cs="Arial"/>
          <w:sz w:val="16"/>
          <w:szCs w:val="16"/>
        </w:rPr>
      </w:pPr>
      <w:r w:rsidRPr="0016486E">
        <w:rPr>
          <w:rFonts w:cs="Arial"/>
          <w:sz w:val="16"/>
          <w:szCs w:val="16"/>
        </w:rPr>
        <w:t>8.2. El sistema debe prever mecanismos que permitan la recolección de la información necesaria para el reconocimiento oportuno y pago ágil de pensiones a los clientes sobre el resultado de tales diligencias. Igualmente, deben establecer mecanismos para mantener permanentemente actualizada la historia laboral de sus afiliados.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8.3. Debe contar con al menos un funcionario responsable designado por el representante legal principal, a cargo de velar porque el sistema de procedimientos opere de manera adecuada al interior de la entidad y atender los requerimientos de información que sobre la materia presenten las autoridades.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8.4. Debe contar con procedimientos especiales para la atención rápida y eficiente de las solicitudes de información que sobre la materia presenten los clientes y usuarios, en los plazos señalados por la Corte Constitucional.</w:t>
      </w:r>
    </w:p>
    <w:p w:rsidR="008A7483" w:rsidRPr="0016486E" w:rsidRDefault="008A7483" w:rsidP="00AF038A">
      <w:pPr>
        <w:rPr>
          <w:rFonts w:cs="Arial"/>
          <w:sz w:val="16"/>
          <w:szCs w:val="16"/>
        </w:rPr>
      </w:pPr>
    </w:p>
    <w:p w:rsidR="008A7483" w:rsidRPr="0016486E" w:rsidRDefault="008A7483" w:rsidP="00AF038A">
      <w:pPr>
        <w:rPr>
          <w:rFonts w:cs="Arial"/>
          <w:sz w:val="16"/>
          <w:szCs w:val="16"/>
        </w:rPr>
      </w:pPr>
    </w:p>
    <w:p w:rsidR="008A7483" w:rsidRPr="0016486E" w:rsidRDefault="008A7483" w:rsidP="00AF038A">
      <w:pPr>
        <w:pStyle w:val="Ttulo1"/>
        <w:spacing w:before="0" w:after="0"/>
        <w:rPr>
          <w:rFonts w:cs="Arial"/>
          <w:sz w:val="16"/>
          <w:szCs w:val="16"/>
        </w:rPr>
      </w:pPr>
      <w:bookmarkStart w:id="37" w:name="_Toc269947615"/>
      <w:r w:rsidRPr="0016486E">
        <w:rPr>
          <w:rFonts w:cs="Arial"/>
          <w:caps/>
          <w:sz w:val="16"/>
          <w:szCs w:val="16"/>
        </w:rPr>
        <w:t>9. REMISIÓN DE EXTRACTOS POR PARTE DE LAS ENTIDADES ADMINISTRADORAS DEL RÉGIMEN SOLIDARIO DE PRIMA MEDIA CON PRESTACIÓN DEFINIDA</w:t>
      </w:r>
      <w:bookmarkEnd w:id="37"/>
    </w:p>
    <w:p w:rsidR="008A7483" w:rsidRPr="0016486E" w:rsidRDefault="008A7483" w:rsidP="00AF038A">
      <w:pPr>
        <w:rPr>
          <w:rFonts w:cs="Arial"/>
          <w:sz w:val="16"/>
          <w:szCs w:val="16"/>
        </w:rPr>
      </w:pPr>
      <w:r w:rsidRPr="0016486E">
        <w:rPr>
          <w:rFonts w:cs="Arial"/>
          <w:b/>
          <w:sz w:val="16"/>
          <w:szCs w:val="16"/>
        </w:rPr>
        <w:t xml:space="preserve"> </w:t>
      </w:r>
    </w:p>
    <w:p w:rsidR="008A7483" w:rsidRPr="0016486E" w:rsidRDefault="008A7483" w:rsidP="00AF038A">
      <w:pPr>
        <w:rPr>
          <w:rFonts w:cs="Arial"/>
          <w:sz w:val="16"/>
          <w:szCs w:val="16"/>
        </w:rPr>
      </w:pPr>
      <w:r w:rsidRPr="0016486E">
        <w:rPr>
          <w:rFonts w:cs="Arial"/>
          <w:sz w:val="16"/>
          <w:szCs w:val="16"/>
        </w:rPr>
        <w:t>En cumplimiento de lo establecido en el parágrafo 1, art. 41 del Decreto 326 de 1996, en concordancia con lo previsto en el numeral 1, art. 97 EOSF, las entidades administradoras del RPMPD deben remitir a sus afiliados un extracto anual con información sobre las semanas y montos cotizados, a más tardar el día 31 de marzo de cada año. Ese extracto debe indicar el período al cual pertenece y contener de forma clara y precisa, como mínimo la siguiente información:</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9.1. Información de la entidad administradora. Indica el nombre o razón social de la administradora y el número de identificación tributaria –NIT.</w:t>
      </w:r>
    </w:p>
    <w:p w:rsidR="008A7483" w:rsidRPr="0016486E" w:rsidRDefault="008A7483" w:rsidP="00AF038A">
      <w:pPr>
        <w:rPr>
          <w:rFonts w:cs="Arial"/>
          <w:sz w:val="16"/>
          <w:szCs w:val="16"/>
        </w:rPr>
      </w:pPr>
      <w:r w:rsidRPr="0016486E">
        <w:rPr>
          <w:rFonts w:cs="Arial"/>
          <w:sz w:val="16"/>
          <w:szCs w:val="16"/>
        </w:rPr>
        <w:t xml:space="preserve"> </w:t>
      </w:r>
    </w:p>
    <w:p w:rsidR="008A7483" w:rsidRPr="0016486E" w:rsidRDefault="008A7483" w:rsidP="00AF038A">
      <w:pPr>
        <w:rPr>
          <w:rFonts w:cs="Arial"/>
          <w:sz w:val="16"/>
          <w:szCs w:val="16"/>
        </w:rPr>
      </w:pPr>
      <w:r w:rsidRPr="0016486E">
        <w:rPr>
          <w:rFonts w:cs="Arial"/>
          <w:sz w:val="16"/>
          <w:szCs w:val="16"/>
        </w:rPr>
        <w:t>9.2. Información del afiliado. Registra los datos personales del afiliado como son el tipo y el número del documento de identidad, el nombre y apellidos, la fecha de afiliación y la dirección para remisión de la correspondencia.</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9.3. Información sobre los aportes. Indica la fecha en que se efectuó la consignación y su monto, el período o ciclo a que corresponde, el ingreso base de cotización, el tiempo cotizado (semanas o días) y el nombre e identificación del empleador o empleadores aportantes en caso de los trabajadores dependientes.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9.4. Información consolidada. Presenta un resumen de las semanas cotizadas en el período objeto del extracto, clasificado por cada empleador, cuando hay más de uno. Así mismo, informa el total de semanas cotizadas y/o el tiempo de servicio efectivamente prestado por el afiliado durante toda su permanencia en la entidad, según corresponda, con la indicación clara de si hubo períodos en que no cotizó, así como la dirección y área de la entidad a la que se puede acudir en caso de duda o inconformidad con el contenido del extracto.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9.5. Información adicional. Indica al afiliado si existen procesos de cobro coactivo, señalando los períodos en mora y el nombre e identificación de los empleadores morosos. Así mismo, puede incluir notas de interés relacionadas con la afiliación o con el SGP.</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Al respaldo del extracto se debe incorporar un escrito en el que se ilustre la información contenida en cada uno de los campos.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Los extractos deben remitirse por correo a la dirección que el afiliado haya indicado para el envío de correspondencia en el formulario de vinculación o de traslado, sin perjuicio de que previa autorización de la SFC se utilice otro medio idóneo para el envío de dichos extractos.</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La entidad administradora debe establecer controles y mecanismos adecuados de seguridad para el manejo y utilización de esta información.</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Dentro del mes siguiente a la remisión de los extractos, las entidades administradoras deben enviar a la SFC una constancia suscrita por el representante legal, sobre el cumplimiento de la obligación en cuestión.</w:t>
      </w:r>
    </w:p>
    <w:p w:rsidR="008A7483" w:rsidRDefault="008A7483" w:rsidP="00AF038A">
      <w:pPr>
        <w:rPr>
          <w:rFonts w:cs="Arial"/>
          <w:b/>
          <w:sz w:val="16"/>
          <w:szCs w:val="16"/>
        </w:rPr>
      </w:pPr>
    </w:p>
    <w:p w:rsidR="0016486E" w:rsidRPr="0016486E" w:rsidRDefault="0016486E" w:rsidP="00AF038A">
      <w:pPr>
        <w:rPr>
          <w:rFonts w:cs="Arial"/>
          <w:b/>
          <w:sz w:val="16"/>
          <w:szCs w:val="16"/>
        </w:rPr>
      </w:pPr>
    </w:p>
    <w:p w:rsidR="008A7483" w:rsidRPr="0016486E" w:rsidRDefault="008A7483" w:rsidP="00AF038A">
      <w:pPr>
        <w:rPr>
          <w:rFonts w:cs="Arial"/>
          <w:b/>
          <w:sz w:val="16"/>
          <w:szCs w:val="16"/>
        </w:rPr>
      </w:pPr>
    </w:p>
    <w:p w:rsidR="008A7483" w:rsidRPr="0016486E" w:rsidRDefault="008A7483" w:rsidP="00AF038A">
      <w:pPr>
        <w:pStyle w:val="Ttulo1"/>
        <w:spacing w:before="0" w:after="0"/>
        <w:rPr>
          <w:rFonts w:cs="Arial"/>
          <w:sz w:val="16"/>
          <w:szCs w:val="16"/>
        </w:rPr>
      </w:pPr>
      <w:bookmarkStart w:id="38" w:name="_Toc269947616"/>
      <w:r w:rsidRPr="0016486E">
        <w:rPr>
          <w:rFonts w:cs="Arial"/>
          <w:caps/>
          <w:sz w:val="16"/>
          <w:szCs w:val="16"/>
        </w:rPr>
        <w:lastRenderedPageBreak/>
        <w:t>10. PAGO DE MESADAS PENSIONALES MEDIANTE CONSIGNACIÓN EN CUENTA CORRIENTE O DE AHORROS</w:t>
      </w:r>
      <w:bookmarkEnd w:id="38"/>
    </w:p>
    <w:p w:rsidR="008A7483" w:rsidRPr="0016486E" w:rsidRDefault="008A7483" w:rsidP="00AF038A">
      <w:pPr>
        <w:widowControl w:val="0"/>
        <w:rPr>
          <w:rFonts w:cs="Arial"/>
          <w:sz w:val="16"/>
          <w:szCs w:val="16"/>
        </w:rPr>
      </w:pPr>
    </w:p>
    <w:p w:rsidR="008A7483" w:rsidRPr="0016486E" w:rsidRDefault="008A7483" w:rsidP="00AF038A">
      <w:pPr>
        <w:widowControl w:val="0"/>
        <w:rPr>
          <w:rFonts w:cs="Arial"/>
          <w:sz w:val="16"/>
          <w:szCs w:val="16"/>
        </w:rPr>
      </w:pPr>
      <w:r w:rsidRPr="0016486E">
        <w:rPr>
          <w:rFonts w:cs="Arial"/>
          <w:sz w:val="16"/>
          <w:szCs w:val="16"/>
        </w:rPr>
        <w:t>10.1. Las entidades de previsión social deben ilustrar a los beneficiarios de mesadas pensionales sobre las diferentes posibilidades con que cuentan para el pago de las mismas, según los mecanismos establecidos para el efecto en los arts. 5  del Decreto 2150 de 1995, 2 y 5 de la Ley 700 de 2001 -modificado por el art. 1 de la Ley 952 de 2005 y art. 16 de la Ley 1171 de 2007, respectivamente-, 1 del Decreto 2751 de 2002 y 13 de la Ley 962 de 1995, e informarles que la decisión sobre el mecanismo a utilizar corresponde exclusivamente a ellos según les resulte más conveniente.</w:t>
      </w:r>
    </w:p>
    <w:p w:rsidR="008A7483" w:rsidRPr="0016486E" w:rsidRDefault="008A7483" w:rsidP="00AF038A">
      <w:pPr>
        <w:ind w:right="-516"/>
        <w:rPr>
          <w:rFonts w:cs="Arial"/>
          <w:sz w:val="16"/>
          <w:szCs w:val="16"/>
        </w:rPr>
      </w:pPr>
    </w:p>
    <w:p w:rsidR="008A7483" w:rsidRPr="0016486E" w:rsidRDefault="008A7483" w:rsidP="00AF038A">
      <w:pPr>
        <w:ind w:right="55"/>
        <w:rPr>
          <w:rFonts w:cs="Arial"/>
          <w:sz w:val="16"/>
          <w:szCs w:val="16"/>
        </w:rPr>
      </w:pPr>
      <w:r w:rsidRPr="0016486E">
        <w:rPr>
          <w:rFonts w:cs="Arial"/>
          <w:sz w:val="16"/>
          <w:szCs w:val="16"/>
        </w:rPr>
        <w:t>10.2. En el evento en que el pensionado elija la consignación en cuenta corriente o de ahorros como mecanismo para el pago de su mesada pensional, debe seleccionar un establecimiento de crédito vigilado por la SFC, una cooperativa de ahorro y crédito, una cooperativa multiactiva con sección de ahorro y crédito o una cooperativa integral con sección de ahorro y crédito vigilada por la Superintendencia de la Economía Solidaria, con sucursal, agencia o corresponsal, en los términos de los arts. 2.36.9.1.1. y siguientes del Decreto 2555 de 2010, en la localidad donde se efectúe regularmente el pago o en aquella en la cual el pensionado tenga su cuenta corriente o de ahorros.</w:t>
      </w:r>
    </w:p>
    <w:p w:rsidR="008A7483" w:rsidRPr="0016486E" w:rsidRDefault="008A7483" w:rsidP="00AF038A">
      <w:pPr>
        <w:ind w:right="-19"/>
        <w:rPr>
          <w:rFonts w:cs="Arial"/>
          <w:sz w:val="16"/>
          <w:szCs w:val="16"/>
        </w:rPr>
      </w:pPr>
    </w:p>
    <w:p w:rsidR="008A7483" w:rsidRPr="0016486E" w:rsidRDefault="008A7483" w:rsidP="00AF038A">
      <w:pPr>
        <w:ind w:right="-19"/>
        <w:rPr>
          <w:rFonts w:cs="Arial"/>
          <w:sz w:val="16"/>
          <w:szCs w:val="16"/>
        </w:rPr>
      </w:pPr>
      <w:r w:rsidRPr="0016486E">
        <w:rPr>
          <w:rFonts w:cs="Arial"/>
          <w:sz w:val="16"/>
          <w:szCs w:val="16"/>
        </w:rPr>
        <w:t>Para el efecto, es necesario que la entidad administradora de pensiones haya celebrado o tenga vigente un convenio con la respectiva entidad financiera, cooperativa de ahorro y crédito, cooperativa multiactiva con sección de ahorro y crédito o cooperativa integral con sección de ahorro y crédito, en el que se especifique que dichas cuentas sólo pueden debitarse por su titular personalmente o mediante autorización especial, sin que puedan admitirse autorizaciones de carácter general o que la administración de la cuenta se confíe a un apoderado o representante.</w:t>
      </w:r>
    </w:p>
    <w:p w:rsidR="008A7483" w:rsidRPr="0016486E" w:rsidRDefault="008A7483" w:rsidP="00AF038A">
      <w:pPr>
        <w:ind w:right="-19"/>
        <w:rPr>
          <w:rFonts w:cs="Arial"/>
          <w:sz w:val="16"/>
          <w:szCs w:val="16"/>
        </w:rPr>
      </w:pPr>
    </w:p>
    <w:p w:rsidR="008A7483" w:rsidRPr="0016486E" w:rsidRDefault="008A7483" w:rsidP="00AF038A">
      <w:pPr>
        <w:rPr>
          <w:rFonts w:cs="Arial"/>
          <w:color w:val="000000"/>
          <w:sz w:val="16"/>
          <w:szCs w:val="16"/>
          <w:lang w:val="es-ES" w:eastAsia="es-ES"/>
        </w:rPr>
      </w:pPr>
      <w:r w:rsidRPr="0016486E">
        <w:rPr>
          <w:rFonts w:cs="Arial"/>
          <w:sz w:val="16"/>
          <w:szCs w:val="16"/>
        </w:rPr>
        <w:t xml:space="preserve">En este sentido, las entidades financieras o pagadoras de pensiones al momento de realizar el pago tienen el deber legal de verificar </w:t>
      </w:r>
      <w:r w:rsidRPr="0016486E">
        <w:rPr>
          <w:rFonts w:cs="Arial"/>
          <w:color w:val="000000"/>
          <w:sz w:val="16"/>
          <w:szCs w:val="16"/>
          <w:lang w:val="es-ES" w:eastAsia="es-ES"/>
        </w:rPr>
        <w:t>adecuadamente</w:t>
      </w:r>
      <w:r w:rsidRPr="0016486E">
        <w:rPr>
          <w:rFonts w:cs="Arial"/>
          <w:sz w:val="16"/>
          <w:szCs w:val="16"/>
        </w:rPr>
        <w:t xml:space="preserve"> la identidad del titular de la cuenta o beneficiario</w:t>
      </w:r>
      <w:r w:rsidRPr="0016486E">
        <w:rPr>
          <w:rFonts w:cs="Arial"/>
          <w:color w:val="000000"/>
          <w:sz w:val="16"/>
          <w:szCs w:val="16"/>
          <w:lang w:val="es-ES" w:eastAsia="es-ES"/>
        </w:rPr>
        <w:t>, a través de medios probatorios idóneos que acrediten tal circunstancia. Así mismo, deben efectuar las consultas respectivas ante la Registraduría Nacional del Estado Civil para confirmar la supervivencia del afiliado pensionado o beneficiario de la pensión.</w:t>
      </w:r>
    </w:p>
    <w:p w:rsidR="008A7483" w:rsidRPr="0016486E" w:rsidRDefault="008A7483" w:rsidP="00AF038A">
      <w:pPr>
        <w:ind w:right="-19"/>
        <w:rPr>
          <w:rFonts w:cs="Arial"/>
          <w:sz w:val="16"/>
          <w:szCs w:val="16"/>
        </w:rPr>
      </w:pPr>
    </w:p>
    <w:p w:rsidR="008A7483" w:rsidRPr="0016486E" w:rsidRDefault="008A7483" w:rsidP="00AF038A">
      <w:pPr>
        <w:ind w:right="-19"/>
        <w:rPr>
          <w:rFonts w:cs="Arial"/>
          <w:sz w:val="16"/>
          <w:szCs w:val="16"/>
        </w:rPr>
      </w:pPr>
      <w:r w:rsidRPr="0016486E">
        <w:rPr>
          <w:rFonts w:cs="Arial"/>
          <w:sz w:val="16"/>
          <w:szCs w:val="16"/>
        </w:rPr>
        <w:t xml:space="preserve">De otra parte, de conformidad con lo previsto en el parágrafo del art. 5 de la Ley 700 de 2001, las entidades depositarias no pueden cobrar a los beneficiarios cuotas de manejo por la utilización de las cuentas. Y de acuerdo con lo establecido en el art. 145 del Decreto 019 de 2012, las entidades financieras, cooperativas de ahorro y crédito, cooperativas multiactivas con sección de ahorro y crédito o cooperativas integrales con sección de ahorro y crédito, no pueden exigir a los pensionados cuya mesada no exceda de 2 </w:t>
      </w:r>
      <w:r w:rsidR="00084702" w:rsidRPr="0016486E">
        <w:rPr>
          <w:rFonts w:cs="Arial"/>
          <w:sz w:val="16"/>
          <w:szCs w:val="16"/>
        </w:rPr>
        <w:t>SMMLV</w:t>
      </w:r>
      <w:r w:rsidRPr="0016486E">
        <w:rPr>
          <w:rFonts w:cs="Arial"/>
          <w:sz w:val="16"/>
          <w:szCs w:val="16"/>
        </w:rPr>
        <w:t>, mantener saldo alguno en las cuentas en las cuales se les abonen las respectivas pensiones.</w:t>
      </w:r>
    </w:p>
    <w:p w:rsidR="008A7483" w:rsidRPr="0016486E" w:rsidRDefault="008A7483" w:rsidP="00AF038A">
      <w:pPr>
        <w:ind w:right="-19"/>
        <w:rPr>
          <w:rFonts w:cs="Arial"/>
          <w:sz w:val="16"/>
          <w:szCs w:val="16"/>
        </w:rPr>
      </w:pPr>
    </w:p>
    <w:p w:rsidR="008A7483" w:rsidRPr="0016486E" w:rsidRDefault="008A7483" w:rsidP="00AF038A">
      <w:pPr>
        <w:ind w:right="-19"/>
        <w:rPr>
          <w:rFonts w:cs="Arial"/>
          <w:sz w:val="16"/>
          <w:szCs w:val="16"/>
        </w:rPr>
      </w:pPr>
    </w:p>
    <w:p w:rsidR="008A7483" w:rsidRPr="0016486E" w:rsidRDefault="008A7483" w:rsidP="00AF038A">
      <w:pPr>
        <w:pStyle w:val="Ttulo1"/>
        <w:spacing w:before="0" w:after="0"/>
        <w:rPr>
          <w:rFonts w:cs="Arial"/>
          <w:sz w:val="16"/>
          <w:szCs w:val="16"/>
        </w:rPr>
      </w:pPr>
      <w:bookmarkStart w:id="39" w:name="_Toc269947617"/>
      <w:r w:rsidRPr="0016486E">
        <w:rPr>
          <w:rFonts w:cs="Arial"/>
          <w:caps/>
          <w:sz w:val="16"/>
          <w:szCs w:val="16"/>
        </w:rPr>
        <w:t>11. PUBLICACIÓN DE INFORMACIÓN AL AFILIADO</w:t>
      </w:r>
      <w:bookmarkEnd w:id="39"/>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Las sociedades administradoras de fondos de pensiones y las administradoras de cesantías con el fin de contribuir a una mayor transparencia en el desarrollo de su actividad deben suministrar a sus afiliados la información a que se refiere el subnumeral 3.4.9.6. del Capítulo I, Título III, de la Parte I de esta Circular, de manera que puedan comparar las distintas opciones del mercado.</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En el mismo sentido y sin perjuicio de las obligaciones de información a cargo de las administradoras, la SFC debe dar a conocer la tabla de rentabilidades de los distintos tipos de fondos de pensiones obligatorias, dentro de los 10 días comunes siguientes al corte de cada trimestre; es decir, al corte de marzo, junio, septiembre y diciembre. </w:t>
      </w:r>
    </w:p>
    <w:p w:rsidR="008A7483" w:rsidRPr="0016486E" w:rsidRDefault="008A7483" w:rsidP="00AF038A">
      <w:pPr>
        <w:rPr>
          <w:rFonts w:cs="Arial"/>
          <w:sz w:val="16"/>
          <w:szCs w:val="16"/>
        </w:rPr>
      </w:pPr>
    </w:p>
    <w:p w:rsidR="008A7483" w:rsidRPr="0016486E" w:rsidRDefault="008A7483" w:rsidP="00AF038A">
      <w:pPr>
        <w:rPr>
          <w:rFonts w:cs="Arial"/>
          <w:sz w:val="16"/>
          <w:szCs w:val="16"/>
        </w:rPr>
      </w:pPr>
      <w:r w:rsidRPr="0016486E">
        <w:rPr>
          <w:rFonts w:cs="Arial"/>
          <w:sz w:val="16"/>
          <w:szCs w:val="16"/>
        </w:rPr>
        <w:t xml:space="preserve">Las rentabilidades mínimas de cada tipo de fondo deben incluirse en la citada tabla a partir de su primera verificación, es decir, 31 de agosto de 2013 para el caso de los tipos de fondos conservador y especial de retiro programado y, 31 de agosto de 2014 tratándose de los tipos de fondos moderado y de mayor riesgo. </w:t>
      </w:r>
    </w:p>
    <w:p w:rsidR="008A7483" w:rsidRPr="0016486E" w:rsidRDefault="008A7483" w:rsidP="00AF038A">
      <w:pPr>
        <w:rPr>
          <w:rFonts w:cs="Arial"/>
          <w:b/>
          <w:sz w:val="16"/>
          <w:szCs w:val="16"/>
        </w:rPr>
      </w:pPr>
    </w:p>
    <w:p w:rsidR="008A7483" w:rsidRPr="0016486E" w:rsidRDefault="008A7483" w:rsidP="00AF038A">
      <w:pPr>
        <w:rPr>
          <w:rFonts w:cs="Arial"/>
          <w:sz w:val="16"/>
          <w:szCs w:val="16"/>
        </w:rPr>
      </w:pPr>
      <w:r w:rsidRPr="0016486E">
        <w:rPr>
          <w:rFonts w:cs="Arial"/>
          <w:sz w:val="16"/>
          <w:szCs w:val="16"/>
        </w:rPr>
        <w:t xml:space="preserve">La SFC incluye en la tabla en mención, las rentabilidades acumuladas del tipo de fondo moderado, teniendo en cuenta para el efecto los flujos de caja del fondo existente al 14 de septiembre de 2010. </w:t>
      </w:r>
    </w:p>
    <w:p w:rsidR="00B91DF0" w:rsidRPr="0016486E" w:rsidRDefault="00B91DF0" w:rsidP="00AF038A">
      <w:pPr>
        <w:rPr>
          <w:rFonts w:cs="Arial"/>
          <w:sz w:val="16"/>
          <w:szCs w:val="16"/>
        </w:rPr>
      </w:pPr>
    </w:p>
    <w:p w:rsidR="00B91DF0" w:rsidRPr="0016486E" w:rsidRDefault="00B91DF0" w:rsidP="00B91DF0">
      <w:pPr>
        <w:pStyle w:val="Ttulo1"/>
        <w:spacing w:before="0" w:after="0"/>
        <w:rPr>
          <w:rFonts w:cs="Arial"/>
          <w:caps/>
          <w:sz w:val="16"/>
          <w:szCs w:val="16"/>
        </w:rPr>
      </w:pPr>
      <w:bookmarkStart w:id="40" w:name="_Toc269947618"/>
    </w:p>
    <w:p w:rsidR="00B91DF0" w:rsidRPr="0016486E" w:rsidRDefault="00B91DF0" w:rsidP="00B91DF0">
      <w:pPr>
        <w:pStyle w:val="Ttulo1"/>
        <w:spacing w:before="0" w:after="0"/>
        <w:rPr>
          <w:rFonts w:cs="Arial"/>
          <w:caps/>
          <w:sz w:val="16"/>
          <w:szCs w:val="16"/>
        </w:rPr>
      </w:pPr>
      <w:r w:rsidRPr="0016486E">
        <w:rPr>
          <w:rFonts w:cs="Arial"/>
          <w:caps/>
          <w:sz w:val="16"/>
          <w:szCs w:val="16"/>
        </w:rPr>
        <w:t>12. EDUCACIÓN FINANCIERA DEL SISTEMA GENERAL DE PENSIONES</w:t>
      </w:r>
      <w:bookmarkEnd w:id="40"/>
    </w:p>
    <w:p w:rsidR="00B91DF0" w:rsidRPr="0016486E" w:rsidRDefault="00B91DF0" w:rsidP="00B91DF0">
      <w:pPr>
        <w:rPr>
          <w:rFonts w:cs="Arial"/>
          <w:sz w:val="16"/>
          <w:szCs w:val="16"/>
        </w:rPr>
      </w:pPr>
    </w:p>
    <w:p w:rsidR="00B91DF0" w:rsidRPr="0016486E" w:rsidRDefault="00B91DF0" w:rsidP="00B91DF0">
      <w:pPr>
        <w:tabs>
          <w:tab w:val="left" w:pos="540"/>
        </w:tabs>
        <w:rPr>
          <w:rFonts w:cs="Arial"/>
          <w:sz w:val="16"/>
          <w:szCs w:val="16"/>
        </w:rPr>
      </w:pPr>
      <w:r w:rsidRPr="0016486E">
        <w:rPr>
          <w:rFonts w:cs="Arial"/>
          <w:sz w:val="16"/>
          <w:szCs w:val="16"/>
        </w:rPr>
        <w:t xml:space="preserve">Las entidades administradoras de los dos regímenes del SGP deben desarrollar programas de capacitación dirigidos a los consumidores financieros en los términos establecidos en el numeral 4 del art. 2.6.10.1.2. del Decreto 2555 de 2010.  </w:t>
      </w:r>
    </w:p>
    <w:p w:rsidR="00B91DF0" w:rsidRPr="0016486E" w:rsidRDefault="00B91DF0" w:rsidP="00B91DF0">
      <w:pPr>
        <w:tabs>
          <w:tab w:val="left" w:pos="540"/>
        </w:tabs>
        <w:rPr>
          <w:rFonts w:cs="Arial"/>
          <w:sz w:val="16"/>
          <w:szCs w:val="16"/>
        </w:rPr>
      </w:pPr>
    </w:p>
    <w:p w:rsidR="00B91DF0" w:rsidRPr="0016486E" w:rsidRDefault="00B91DF0" w:rsidP="00B91DF0">
      <w:pPr>
        <w:tabs>
          <w:tab w:val="left" w:pos="540"/>
        </w:tabs>
        <w:rPr>
          <w:rFonts w:cs="Arial"/>
          <w:sz w:val="16"/>
          <w:szCs w:val="16"/>
        </w:rPr>
      </w:pPr>
      <w:r w:rsidRPr="0016486E">
        <w:rPr>
          <w:rFonts w:cs="Arial"/>
          <w:sz w:val="16"/>
          <w:szCs w:val="16"/>
        </w:rPr>
        <w:t xml:space="preserve">Para este efecto, tales programas deben contemplar como mínimo los siguientes aspectos, de acuerdo con el régimen aplicable para las sociedades administradoras del RAIS como para las de prima media con prestación definida:  </w:t>
      </w:r>
    </w:p>
    <w:p w:rsidR="00B91DF0" w:rsidRPr="0016486E" w:rsidRDefault="00B91DF0" w:rsidP="00B91DF0">
      <w:pPr>
        <w:tabs>
          <w:tab w:val="left" w:pos="540"/>
        </w:tabs>
        <w:rPr>
          <w:rFonts w:cs="Arial"/>
          <w:sz w:val="16"/>
          <w:szCs w:val="16"/>
        </w:rPr>
      </w:pPr>
    </w:p>
    <w:p w:rsidR="00B91DF0" w:rsidRPr="0016486E" w:rsidRDefault="00B91DF0" w:rsidP="00B91DF0">
      <w:pPr>
        <w:rPr>
          <w:rFonts w:cs="Arial"/>
          <w:sz w:val="16"/>
          <w:szCs w:val="16"/>
        </w:rPr>
      </w:pPr>
      <w:r w:rsidRPr="0016486E">
        <w:rPr>
          <w:rFonts w:cs="Arial"/>
          <w:sz w:val="16"/>
          <w:szCs w:val="16"/>
        </w:rPr>
        <w:t>12.1. Marco regulatorio del SGP y de los dos regímenes pensionales que lo conforman.</w:t>
      </w:r>
    </w:p>
    <w:p w:rsidR="00B91DF0" w:rsidRPr="0016486E" w:rsidRDefault="00B91DF0" w:rsidP="00B91DF0">
      <w:pPr>
        <w:ind w:left="360"/>
        <w:rPr>
          <w:rFonts w:cs="Arial"/>
          <w:sz w:val="16"/>
          <w:szCs w:val="16"/>
        </w:rPr>
      </w:pPr>
    </w:p>
    <w:p w:rsidR="00B91DF0" w:rsidRPr="0016486E" w:rsidRDefault="00B91DF0" w:rsidP="00B91DF0">
      <w:pPr>
        <w:rPr>
          <w:rFonts w:cs="Arial"/>
          <w:sz w:val="16"/>
          <w:szCs w:val="16"/>
        </w:rPr>
      </w:pPr>
      <w:r w:rsidRPr="0016486E">
        <w:rPr>
          <w:rFonts w:cs="Arial"/>
          <w:sz w:val="16"/>
          <w:szCs w:val="16"/>
        </w:rPr>
        <w:t>12.2. Características de cada uno de los regímenes del SGP.</w:t>
      </w:r>
    </w:p>
    <w:p w:rsidR="00B91DF0" w:rsidRPr="0016486E" w:rsidRDefault="00B91DF0" w:rsidP="00B91DF0">
      <w:pPr>
        <w:pStyle w:val="Listavistosa-nfasis11"/>
        <w:ind w:left="348"/>
        <w:rPr>
          <w:rFonts w:ascii="Arial" w:hAnsi="Arial" w:cs="Arial"/>
          <w:sz w:val="16"/>
          <w:szCs w:val="16"/>
        </w:rPr>
      </w:pPr>
    </w:p>
    <w:p w:rsidR="00B91DF0" w:rsidRPr="0016486E" w:rsidRDefault="00B91DF0" w:rsidP="00B91DF0">
      <w:pPr>
        <w:rPr>
          <w:rFonts w:cs="Arial"/>
          <w:sz w:val="16"/>
          <w:szCs w:val="16"/>
        </w:rPr>
      </w:pPr>
      <w:r w:rsidRPr="0016486E">
        <w:rPr>
          <w:rFonts w:cs="Arial"/>
          <w:sz w:val="16"/>
          <w:szCs w:val="16"/>
        </w:rPr>
        <w:t>12.3. Marco regulatorio del esquema de “Multifondos”.</w:t>
      </w:r>
    </w:p>
    <w:p w:rsidR="00B91DF0" w:rsidRPr="0016486E" w:rsidRDefault="00B91DF0" w:rsidP="00B91DF0">
      <w:pPr>
        <w:rPr>
          <w:rFonts w:cs="Arial"/>
          <w:sz w:val="16"/>
          <w:szCs w:val="16"/>
        </w:rPr>
      </w:pPr>
    </w:p>
    <w:p w:rsidR="00B91DF0" w:rsidRPr="0016486E" w:rsidRDefault="00B91DF0" w:rsidP="00B91DF0">
      <w:pPr>
        <w:rPr>
          <w:rFonts w:cs="Arial"/>
          <w:sz w:val="16"/>
          <w:szCs w:val="16"/>
        </w:rPr>
      </w:pPr>
      <w:r w:rsidRPr="0016486E">
        <w:rPr>
          <w:rFonts w:cs="Arial"/>
          <w:sz w:val="16"/>
          <w:szCs w:val="16"/>
        </w:rPr>
        <w:t>12.4. Facultades de selección y traslado entre los dos regímenes del SGP, entre las administradoras del régimen de ahorro individual y entre los tipos de fondos que éstas administran.</w:t>
      </w:r>
    </w:p>
    <w:p w:rsidR="00B91DF0" w:rsidRPr="0016486E" w:rsidRDefault="00B91DF0" w:rsidP="00B91DF0">
      <w:pPr>
        <w:ind w:left="360"/>
        <w:rPr>
          <w:rFonts w:cs="Arial"/>
          <w:sz w:val="16"/>
          <w:szCs w:val="16"/>
        </w:rPr>
      </w:pPr>
    </w:p>
    <w:p w:rsidR="00B91DF0" w:rsidRPr="0016486E" w:rsidRDefault="00B91DF0" w:rsidP="00B91DF0">
      <w:pPr>
        <w:rPr>
          <w:rFonts w:cs="Arial"/>
          <w:sz w:val="16"/>
          <w:szCs w:val="16"/>
        </w:rPr>
      </w:pPr>
      <w:r w:rsidRPr="0016486E">
        <w:rPr>
          <w:rFonts w:cs="Arial"/>
          <w:sz w:val="16"/>
          <w:szCs w:val="16"/>
        </w:rPr>
        <w:t>12.5. Composición y características de cada uno de los tipos de fondos ofrecidos dentro del esquema de “Multifondos”, con una clara identificación de los riesgos de cada uno de ellos.</w:t>
      </w:r>
    </w:p>
    <w:p w:rsidR="00B91DF0" w:rsidRPr="0016486E" w:rsidRDefault="00B91DF0" w:rsidP="00B91DF0">
      <w:pPr>
        <w:ind w:left="360"/>
        <w:rPr>
          <w:rFonts w:cs="Arial"/>
          <w:sz w:val="16"/>
          <w:szCs w:val="16"/>
        </w:rPr>
      </w:pPr>
    </w:p>
    <w:p w:rsidR="00B91DF0" w:rsidRPr="0016486E" w:rsidRDefault="00B91DF0" w:rsidP="00B91DF0">
      <w:pPr>
        <w:rPr>
          <w:rFonts w:cs="Arial"/>
          <w:sz w:val="16"/>
          <w:szCs w:val="16"/>
        </w:rPr>
      </w:pPr>
      <w:r w:rsidRPr="0016486E">
        <w:rPr>
          <w:rFonts w:cs="Arial"/>
          <w:sz w:val="16"/>
          <w:szCs w:val="16"/>
        </w:rPr>
        <w:t>12.6. Marco general sobre el cálculo de pensiones del SGP.</w:t>
      </w:r>
    </w:p>
    <w:p w:rsidR="00B91DF0" w:rsidRPr="0016486E" w:rsidRDefault="00B91DF0" w:rsidP="00B91DF0">
      <w:pPr>
        <w:ind w:left="360"/>
        <w:rPr>
          <w:rFonts w:cs="Arial"/>
          <w:sz w:val="16"/>
          <w:szCs w:val="16"/>
        </w:rPr>
      </w:pPr>
    </w:p>
    <w:p w:rsidR="00B91DF0" w:rsidRPr="0016486E" w:rsidRDefault="00B91DF0" w:rsidP="00B91DF0">
      <w:pPr>
        <w:rPr>
          <w:rFonts w:cs="Arial"/>
          <w:sz w:val="16"/>
          <w:szCs w:val="16"/>
        </w:rPr>
      </w:pPr>
      <w:r w:rsidRPr="0016486E">
        <w:rPr>
          <w:rFonts w:cs="Arial"/>
          <w:sz w:val="16"/>
          <w:szCs w:val="16"/>
        </w:rPr>
        <w:t>12.7. Modalidades de pensión de cada uno de los regímenes del SGP.</w:t>
      </w:r>
    </w:p>
    <w:p w:rsidR="00B91DF0" w:rsidRPr="0016486E" w:rsidRDefault="00B91DF0" w:rsidP="00B91DF0">
      <w:pPr>
        <w:ind w:left="360"/>
        <w:rPr>
          <w:rFonts w:cs="Arial"/>
          <w:sz w:val="16"/>
          <w:szCs w:val="16"/>
        </w:rPr>
      </w:pPr>
    </w:p>
    <w:p w:rsidR="00B91DF0" w:rsidRPr="0016486E" w:rsidRDefault="00B91DF0" w:rsidP="00B91DF0">
      <w:pPr>
        <w:rPr>
          <w:rFonts w:cs="Arial"/>
          <w:sz w:val="16"/>
          <w:szCs w:val="16"/>
        </w:rPr>
      </w:pPr>
      <w:r w:rsidRPr="0016486E">
        <w:rPr>
          <w:rFonts w:cs="Arial"/>
          <w:sz w:val="16"/>
          <w:szCs w:val="16"/>
        </w:rPr>
        <w:t xml:space="preserve">12.8. Marco regulatorio de protección al consumidor financiero en general y en el esquema de “Multifondos”, </w:t>
      </w:r>
    </w:p>
    <w:p w:rsidR="00B91DF0" w:rsidRPr="0016486E" w:rsidRDefault="00B91DF0" w:rsidP="00B91DF0">
      <w:pPr>
        <w:rPr>
          <w:rFonts w:cs="Arial"/>
          <w:sz w:val="16"/>
          <w:szCs w:val="16"/>
        </w:rPr>
      </w:pPr>
    </w:p>
    <w:p w:rsidR="00B91DF0" w:rsidRPr="0016486E" w:rsidRDefault="00B91DF0" w:rsidP="00B91DF0">
      <w:pPr>
        <w:rPr>
          <w:rFonts w:cs="Arial"/>
          <w:sz w:val="16"/>
          <w:szCs w:val="16"/>
        </w:rPr>
      </w:pPr>
      <w:r w:rsidRPr="0016486E">
        <w:rPr>
          <w:rFonts w:cs="Arial"/>
          <w:sz w:val="16"/>
          <w:szCs w:val="16"/>
        </w:rPr>
        <w:t>12.9. Esquema de comisiones de administración en cada uno de los re</w:t>
      </w:r>
      <w:bookmarkStart w:id="41" w:name="_GoBack"/>
      <w:bookmarkEnd w:id="41"/>
      <w:r w:rsidRPr="0016486E">
        <w:rPr>
          <w:rFonts w:cs="Arial"/>
          <w:sz w:val="16"/>
          <w:szCs w:val="16"/>
        </w:rPr>
        <w:t>gímenes del sistema general de pensiones y particularmente en el RAIS.</w:t>
      </w:r>
    </w:p>
    <w:p w:rsidR="00B91DF0" w:rsidRPr="0016486E" w:rsidRDefault="00B91DF0" w:rsidP="00B91DF0">
      <w:pPr>
        <w:tabs>
          <w:tab w:val="left" w:pos="540"/>
        </w:tabs>
        <w:rPr>
          <w:rFonts w:cs="Arial"/>
          <w:sz w:val="16"/>
          <w:szCs w:val="16"/>
        </w:rPr>
      </w:pPr>
    </w:p>
    <w:p w:rsidR="00B91DF0" w:rsidRPr="0016486E" w:rsidRDefault="00B91DF0" w:rsidP="00B91DF0">
      <w:pPr>
        <w:rPr>
          <w:rFonts w:cs="Arial"/>
          <w:sz w:val="16"/>
          <w:szCs w:val="16"/>
        </w:rPr>
      </w:pPr>
      <w:r w:rsidRPr="0016486E">
        <w:rPr>
          <w:rFonts w:cs="Arial"/>
          <w:sz w:val="16"/>
          <w:szCs w:val="16"/>
        </w:rPr>
        <w:t>Las entidades administradoras del SGP deben mantener a disposición de la SFC la información relacionada con los programas de educación financiera a que se refiere el presente numeral.</w:t>
      </w:r>
    </w:p>
    <w:sectPr w:rsidR="00B91DF0" w:rsidRPr="0016486E" w:rsidSect="0016486E">
      <w:footerReference w:type="default" r:id="rId11"/>
      <w:pgSz w:w="12240" w:h="18720" w:code="14"/>
      <w:pgMar w:top="1418" w:right="1701" w:bottom="1418"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0B" w:rsidRDefault="00B3410B" w:rsidP="00E31FE3">
      <w:r>
        <w:separator/>
      </w:r>
    </w:p>
  </w:endnote>
  <w:endnote w:type="continuationSeparator" w:id="0">
    <w:p w:rsidR="00B3410B" w:rsidRDefault="00B3410B" w:rsidP="00E31FE3">
      <w:r>
        <w:continuationSeparator/>
      </w:r>
    </w:p>
  </w:endnote>
  <w:endnote w:type="continuationNotice" w:id="1">
    <w:p w:rsidR="00B3410B" w:rsidRDefault="00B34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10" w:rsidRDefault="00825610">
    <w:pPr>
      <w:pStyle w:val="Piedepgina"/>
    </w:pPr>
  </w:p>
  <w:p w:rsidR="00825610" w:rsidRPr="00156036" w:rsidRDefault="00825610">
    <w:pPr>
      <w:pStyle w:val="Piedepgina"/>
      <w:rPr>
        <w:b/>
        <w:lang w:val="pt-BR"/>
      </w:rPr>
    </w:pPr>
    <w:r w:rsidRPr="00156036">
      <w:rPr>
        <w:b/>
        <w:lang w:val="pt-BR"/>
      </w:rPr>
      <w:t xml:space="preserve">PARTE II </w:t>
    </w:r>
    <w:r>
      <w:rPr>
        <w:b/>
        <w:lang w:val="pt-BR"/>
      </w:rPr>
      <w:t>–</w:t>
    </w:r>
    <w:r w:rsidRPr="00156036">
      <w:rPr>
        <w:b/>
        <w:lang w:val="pt-BR"/>
      </w:rPr>
      <w:t xml:space="preserve"> TÍTULO III </w:t>
    </w:r>
    <w:r>
      <w:rPr>
        <w:b/>
        <w:lang w:val="pt-BR"/>
      </w:rPr>
      <w:t>–</w:t>
    </w:r>
    <w:r w:rsidRPr="00156036">
      <w:rPr>
        <w:b/>
        <w:lang w:val="pt-BR"/>
      </w:rPr>
      <w:t xml:space="preserve"> CAPÍTULO I</w:t>
    </w:r>
    <w:r>
      <w:rPr>
        <w:b/>
        <w:lang w:val="pt-BR"/>
      </w:rPr>
      <w:tab/>
    </w:r>
    <w:r w:rsidRPr="00156036">
      <w:rPr>
        <w:b/>
        <w:lang w:val="pt-BR"/>
      </w:rPr>
      <w:t xml:space="preserve">                                                            </w:t>
    </w:r>
    <w:r w:rsidR="0016486E">
      <w:rPr>
        <w:b/>
        <w:lang w:val="pt-BR"/>
      </w:rPr>
      <w:t xml:space="preserve">                          </w:t>
    </w:r>
    <w:r w:rsidRPr="00156036">
      <w:rPr>
        <w:b/>
        <w:lang w:val="pt-B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6E" w:rsidRDefault="0016486E">
    <w:pPr>
      <w:pStyle w:val="Piedepgina"/>
    </w:pPr>
  </w:p>
  <w:p w:rsidR="0016486E" w:rsidRPr="009E03CC" w:rsidRDefault="0016486E" w:rsidP="00E44E37">
    <w:pPr>
      <w:pStyle w:val="Piedepgina"/>
      <w:framePr w:wrap="around" w:vAnchor="text" w:hAnchor="page" w:x="10369" w:y="3"/>
      <w:rPr>
        <w:rStyle w:val="Nmerodepgina"/>
        <w:rFonts w:cs="Arial"/>
        <w:b/>
        <w:szCs w:val="18"/>
      </w:rPr>
    </w:pPr>
    <w:r>
      <w:rPr>
        <w:rStyle w:val="Nmerodepgina"/>
        <w:rFonts w:cs="Arial"/>
        <w:b/>
        <w:szCs w:val="18"/>
      </w:rPr>
      <w:fldChar w:fldCharType="begin"/>
    </w:r>
    <w:r>
      <w:rPr>
        <w:rStyle w:val="Nmerodepgina"/>
        <w:rFonts w:cs="Arial"/>
        <w:b/>
        <w:szCs w:val="18"/>
      </w:rPr>
      <w:instrText>PAGE</w:instrText>
    </w:r>
    <w:r w:rsidRPr="009E03CC">
      <w:rPr>
        <w:rStyle w:val="Nmerodepgina"/>
        <w:rFonts w:cs="Arial"/>
        <w:b/>
        <w:szCs w:val="18"/>
      </w:rPr>
      <w:instrText xml:space="preserve">  </w:instrText>
    </w:r>
    <w:r>
      <w:rPr>
        <w:rStyle w:val="Nmerodepgina"/>
        <w:rFonts w:cs="Arial"/>
        <w:b/>
        <w:szCs w:val="18"/>
      </w:rPr>
      <w:fldChar w:fldCharType="separate"/>
    </w:r>
    <w:r w:rsidR="00860407">
      <w:rPr>
        <w:rStyle w:val="Nmerodepgina"/>
        <w:rFonts w:cs="Arial"/>
        <w:b/>
        <w:noProof/>
        <w:szCs w:val="18"/>
      </w:rPr>
      <w:t>9</w:t>
    </w:r>
    <w:r>
      <w:rPr>
        <w:rStyle w:val="Nmerodepgina"/>
        <w:rFonts w:cs="Arial"/>
        <w:b/>
        <w:szCs w:val="18"/>
      </w:rPr>
      <w:fldChar w:fldCharType="end"/>
    </w:r>
  </w:p>
  <w:p w:rsidR="0016486E" w:rsidRPr="00156036" w:rsidRDefault="0016486E">
    <w:pPr>
      <w:pStyle w:val="Piedepgina"/>
      <w:rPr>
        <w:b/>
        <w:lang w:val="pt-BR"/>
      </w:rPr>
    </w:pPr>
    <w:r w:rsidRPr="00156036">
      <w:rPr>
        <w:b/>
        <w:lang w:val="pt-BR"/>
      </w:rPr>
      <w:t xml:space="preserve">PARTE II </w:t>
    </w:r>
    <w:r>
      <w:rPr>
        <w:b/>
        <w:lang w:val="pt-BR"/>
      </w:rPr>
      <w:t>–</w:t>
    </w:r>
    <w:r w:rsidRPr="00156036">
      <w:rPr>
        <w:b/>
        <w:lang w:val="pt-BR"/>
      </w:rPr>
      <w:t xml:space="preserve"> TÍTULO III </w:t>
    </w:r>
    <w:r>
      <w:rPr>
        <w:b/>
        <w:lang w:val="pt-BR"/>
      </w:rPr>
      <w:t>–</w:t>
    </w:r>
    <w:r w:rsidRPr="00156036">
      <w:rPr>
        <w:b/>
        <w:lang w:val="pt-BR"/>
      </w:rPr>
      <w:t xml:space="preserve"> CAPÍTULO I</w:t>
    </w:r>
    <w:r>
      <w:rPr>
        <w:b/>
        <w:lang w:val="pt-BR"/>
      </w:rPr>
      <w:tab/>
    </w:r>
    <w:r w:rsidRPr="00156036">
      <w:rPr>
        <w:b/>
        <w:lang w:val="pt-BR"/>
      </w:rPr>
      <w:t xml:space="preserve">                                                            </w:t>
    </w:r>
    <w:r>
      <w:rPr>
        <w:b/>
        <w:lang w:val="pt-BR"/>
      </w:rPr>
      <w:t xml:space="preserve">                          </w:t>
    </w:r>
    <w:r w:rsidRPr="00156036">
      <w:rPr>
        <w:b/>
        <w:lang w:val="pt-BR"/>
      </w:rPr>
      <w:t xml:space="preserve"> </w:t>
    </w:r>
    <w:r>
      <w:rPr>
        <w:b/>
        <w:lang w:val="pt-BR"/>
      </w:rPr>
      <w:t>PÁGINA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0B" w:rsidRDefault="00B3410B" w:rsidP="00E31FE3">
      <w:r>
        <w:separator/>
      </w:r>
    </w:p>
  </w:footnote>
  <w:footnote w:type="continuationSeparator" w:id="0">
    <w:p w:rsidR="00B3410B" w:rsidRDefault="00B3410B" w:rsidP="00E31FE3">
      <w:r>
        <w:continuationSeparator/>
      </w:r>
    </w:p>
  </w:footnote>
  <w:footnote w:type="continuationNotice" w:id="1">
    <w:p w:rsidR="00B3410B" w:rsidRDefault="00B3410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610" w:rsidRDefault="00825610" w:rsidP="00E31FE3">
    <w:pPr>
      <w:pStyle w:val="Encabezado"/>
      <w:jc w:val="center"/>
      <w:rPr>
        <w:b/>
        <w:sz w:val="24"/>
        <w:szCs w:val="24"/>
      </w:rPr>
    </w:pPr>
    <w:r w:rsidRPr="00E31FE3">
      <w:rPr>
        <w:b/>
        <w:sz w:val="24"/>
        <w:szCs w:val="24"/>
      </w:rPr>
      <w:t>SUPERINTENDENCIA FINANCIERA DE COLOMBIA</w:t>
    </w:r>
  </w:p>
  <w:p w:rsidR="00825610" w:rsidRPr="00E31FE3" w:rsidRDefault="00825610" w:rsidP="00E31FE3">
    <w:pPr>
      <w:pStyle w:val="Encabezad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CE26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CE4E29"/>
    <w:multiLevelType w:val="hybridMultilevel"/>
    <w:tmpl w:val="91B8ABB2"/>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C495CBA"/>
    <w:multiLevelType w:val="hybridMultilevel"/>
    <w:tmpl w:val="EE0CCFE4"/>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
    <w:nsid w:val="329776AF"/>
    <w:multiLevelType w:val="hybridMultilevel"/>
    <w:tmpl w:val="EB165080"/>
    <w:lvl w:ilvl="0" w:tplc="5EB4AAE6">
      <w:start w:val="1"/>
      <w:numFmt w:val="bullet"/>
      <w:lvlText w:val=""/>
      <w:lvlJc w:val="left"/>
      <w:pPr>
        <w:tabs>
          <w:tab w:val="num" w:pos="360"/>
        </w:tabs>
        <w:ind w:left="360" w:hanging="360"/>
      </w:pPr>
      <w:rPr>
        <w:rFonts w:ascii="Symbol" w:hAnsi="Symbol" w:hint="default"/>
        <w:color w:val="auto"/>
        <w:sz w:val="12"/>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487033F6"/>
    <w:multiLevelType w:val="multilevel"/>
    <w:tmpl w:val="A3F8DBB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5">
    <w:nsid w:val="5FE65224"/>
    <w:multiLevelType w:val="hybridMultilevel"/>
    <w:tmpl w:val="0B4CE0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2120740"/>
    <w:multiLevelType w:val="hybridMultilevel"/>
    <w:tmpl w:val="CB4A63DA"/>
    <w:lvl w:ilvl="0" w:tplc="0C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2"/>
  </w:num>
  <w:num w:numId="12">
    <w:abstractNumId w:val="6"/>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38A"/>
    <w:rsid w:val="00007C10"/>
    <w:rsid w:val="00022AD8"/>
    <w:rsid w:val="000441EE"/>
    <w:rsid w:val="00061DD7"/>
    <w:rsid w:val="00084702"/>
    <w:rsid w:val="000A1FFE"/>
    <w:rsid w:val="000B6442"/>
    <w:rsid w:val="000C1A90"/>
    <w:rsid w:val="000C3E63"/>
    <w:rsid w:val="000D2174"/>
    <w:rsid w:val="00100056"/>
    <w:rsid w:val="001015F0"/>
    <w:rsid w:val="00140A57"/>
    <w:rsid w:val="001443D9"/>
    <w:rsid w:val="00156036"/>
    <w:rsid w:val="00162144"/>
    <w:rsid w:val="0016486E"/>
    <w:rsid w:val="00182432"/>
    <w:rsid w:val="001A3C66"/>
    <w:rsid w:val="001A5ED4"/>
    <w:rsid w:val="001B5A85"/>
    <w:rsid w:val="001C0CB7"/>
    <w:rsid w:val="001F4F01"/>
    <w:rsid w:val="0020260D"/>
    <w:rsid w:val="00205089"/>
    <w:rsid w:val="002243D3"/>
    <w:rsid w:val="002261E4"/>
    <w:rsid w:val="00235E49"/>
    <w:rsid w:val="00253D5A"/>
    <w:rsid w:val="002655BC"/>
    <w:rsid w:val="0027504B"/>
    <w:rsid w:val="002771EE"/>
    <w:rsid w:val="002947BB"/>
    <w:rsid w:val="002A56FE"/>
    <w:rsid w:val="002D110E"/>
    <w:rsid w:val="002D5C5D"/>
    <w:rsid w:val="002F08B4"/>
    <w:rsid w:val="00301CCD"/>
    <w:rsid w:val="00321051"/>
    <w:rsid w:val="00330077"/>
    <w:rsid w:val="0035202E"/>
    <w:rsid w:val="00371EA2"/>
    <w:rsid w:val="00375096"/>
    <w:rsid w:val="00377693"/>
    <w:rsid w:val="00396FB7"/>
    <w:rsid w:val="003A24A6"/>
    <w:rsid w:val="003A62BE"/>
    <w:rsid w:val="003A7B84"/>
    <w:rsid w:val="003C4B9E"/>
    <w:rsid w:val="003D3728"/>
    <w:rsid w:val="003E295D"/>
    <w:rsid w:val="004045E8"/>
    <w:rsid w:val="00406D1B"/>
    <w:rsid w:val="004150F5"/>
    <w:rsid w:val="00424B25"/>
    <w:rsid w:val="0044426F"/>
    <w:rsid w:val="00446C87"/>
    <w:rsid w:val="00457431"/>
    <w:rsid w:val="00472B38"/>
    <w:rsid w:val="004761E3"/>
    <w:rsid w:val="004E3056"/>
    <w:rsid w:val="004E53DC"/>
    <w:rsid w:val="004F6998"/>
    <w:rsid w:val="00501E05"/>
    <w:rsid w:val="00504010"/>
    <w:rsid w:val="00505D3E"/>
    <w:rsid w:val="00511218"/>
    <w:rsid w:val="00556CD2"/>
    <w:rsid w:val="0056224C"/>
    <w:rsid w:val="005965B1"/>
    <w:rsid w:val="005A521D"/>
    <w:rsid w:val="005C7837"/>
    <w:rsid w:val="005D1FC3"/>
    <w:rsid w:val="00615107"/>
    <w:rsid w:val="00620E8D"/>
    <w:rsid w:val="0063444F"/>
    <w:rsid w:val="00635E9A"/>
    <w:rsid w:val="00641DBA"/>
    <w:rsid w:val="006506CE"/>
    <w:rsid w:val="00665673"/>
    <w:rsid w:val="006814BF"/>
    <w:rsid w:val="006A1BA6"/>
    <w:rsid w:val="006B0C4B"/>
    <w:rsid w:val="006C3362"/>
    <w:rsid w:val="006D5D7A"/>
    <w:rsid w:val="0072128C"/>
    <w:rsid w:val="0075232D"/>
    <w:rsid w:val="0076342F"/>
    <w:rsid w:val="00795022"/>
    <w:rsid w:val="007B06CE"/>
    <w:rsid w:val="007C7F36"/>
    <w:rsid w:val="007D55EA"/>
    <w:rsid w:val="007D722C"/>
    <w:rsid w:val="00804016"/>
    <w:rsid w:val="00825610"/>
    <w:rsid w:val="00843D45"/>
    <w:rsid w:val="00851EB1"/>
    <w:rsid w:val="00860407"/>
    <w:rsid w:val="008730A7"/>
    <w:rsid w:val="00880A31"/>
    <w:rsid w:val="00883090"/>
    <w:rsid w:val="00883490"/>
    <w:rsid w:val="008A54B5"/>
    <w:rsid w:val="008A7483"/>
    <w:rsid w:val="008B31C3"/>
    <w:rsid w:val="008C3384"/>
    <w:rsid w:val="008D4080"/>
    <w:rsid w:val="0090221D"/>
    <w:rsid w:val="009210B4"/>
    <w:rsid w:val="00922E76"/>
    <w:rsid w:val="00931360"/>
    <w:rsid w:val="009336F7"/>
    <w:rsid w:val="00952198"/>
    <w:rsid w:val="009D1305"/>
    <w:rsid w:val="009E03CC"/>
    <w:rsid w:val="009E36F9"/>
    <w:rsid w:val="009E6995"/>
    <w:rsid w:val="00A23D1D"/>
    <w:rsid w:val="00A320DD"/>
    <w:rsid w:val="00A40413"/>
    <w:rsid w:val="00A46FA8"/>
    <w:rsid w:val="00AB0460"/>
    <w:rsid w:val="00AB6CBA"/>
    <w:rsid w:val="00AB6DC1"/>
    <w:rsid w:val="00AE0F9A"/>
    <w:rsid w:val="00AE291A"/>
    <w:rsid w:val="00AF038A"/>
    <w:rsid w:val="00AF2F67"/>
    <w:rsid w:val="00B177A5"/>
    <w:rsid w:val="00B3410B"/>
    <w:rsid w:val="00B51F57"/>
    <w:rsid w:val="00B60770"/>
    <w:rsid w:val="00B636F8"/>
    <w:rsid w:val="00B751FA"/>
    <w:rsid w:val="00B91DF0"/>
    <w:rsid w:val="00C244E8"/>
    <w:rsid w:val="00C260ED"/>
    <w:rsid w:val="00C626AC"/>
    <w:rsid w:val="00C935FA"/>
    <w:rsid w:val="00CA7547"/>
    <w:rsid w:val="00CC4350"/>
    <w:rsid w:val="00CC6605"/>
    <w:rsid w:val="00CD6DE4"/>
    <w:rsid w:val="00CE37D0"/>
    <w:rsid w:val="00D05E7F"/>
    <w:rsid w:val="00D55A8D"/>
    <w:rsid w:val="00D62669"/>
    <w:rsid w:val="00DF3F99"/>
    <w:rsid w:val="00E1133B"/>
    <w:rsid w:val="00E23B6A"/>
    <w:rsid w:val="00E245A1"/>
    <w:rsid w:val="00E31FE3"/>
    <w:rsid w:val="00E44E37"/>
    <w:rsid w:val="00E52AA6"/>
    <w:rsid w:val="00E83509"/>
    <w:rsid w:val="00EB788C"/>
    <w:rsid w:val="00EC3F89"/>
    <w:rsid w:val="00EC4F9B"/>
    <w:rsid w:val="00EE453A"/>
    <w:rsid w:val="00F410B3"/>
    <w:rsid w:val="00F71F45"/>
    <w:rsid w:val="00F85B31"/>
    <w:rsid w:val="00F905F7"/>
    <w:rsid w:val="00F97D49"/>
    <w:rsid w:val="00FA5C1F"/>
    <w:rsid w:val="00FD0446"/>
    <w:rsid w:val="00FD32E1"/>
    <w:rsid w:val="00FE62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AF038A"/>
    <w:pPr>
      <w:jc w:val="both"/>
    </w:pPr>
    <w:rPr>
      <w:rFonts w:ascii="Arial" w:hAnsi="Arial"/>
      <w:sz w:val="18"/>
      <w:lang w:val="es-ES_tradnl" w:eastAsia="es-CO"/>
    </w:rPr>
  </w:style>
  <w:style w:type="paragraph" w:styleId="Ttulo1">
    <w:name w:val="heading 1"/>
    <w:basedOn w:val="Normal"/>
    <w:next w:val="Normal"/>
    <w:link w:val="Ttulo1Car"/>
    <w:uiPriority w:val="99"/>
    <w:qFormat/>
    <w:rsid w:val="00AF038A"/>
    <w:pPr>
      <w:keepNext/>
      <w:spacing w:before="240" w:after="60"/>
      <w:jc w:val="left"/>
      <w:outlineLvl w:val="0"/>
    </w:pPr>
    <w:rPr>
      <w:b/>
      <w:kern w:val="32"/>
      <w:sz w:val="32"/>
      <w:lang w:val="es-ES" w:eastAsia="es-ES"/>
    </w:rPr>
  </w:style>
  <w:style w:type="paragraph" w:styleId="Ttulo2">
    <w:name w:val="heading 2"/>
    <w:basedOn w:val="Normal"/>
    <w:next w:val="Normal"/>
    <w:link w:val="Ttulo2Car"/>
    <w:uiPriority w:val="99"/>
    <w:qFormat/>
    <w:rsid w:val="00AF038A"/>
    <w:pPr>
      <w:keepNext/>
      <w:spacing w:before="240" w:after="60"/>
      <w:jc w:val="left"/>
      <w:outlineLvl w:val="1"/>
    </w:pPr>
    <w:rPr>
      <w:b/>
      <w:sz w:val="28"/>
      <w:lang w:val="es-ES" w:eastAsia="es-ES"/>
    </w:rPr>
  </w:style>
  <w:style w:type="paragraph" w:styleId="Ttulo3">
    <w:name w:val="heading 3"/>
    <w:basedOn w:val="Normal"/>
    <w:next w:val="Normal"/>
    <w:link w:val="Ttulo3Car"/>
    <w:uiPriority w:val="99"/>
    <w:qFormat/>
    <w:rsid w:val="00AB0460"/>
    <w:pPr>
      <w:keepNext/>
      <w:numPr>
        <w:ilvl w:val="2"/>
        <w:numId w:val="9"/>
      </w:numPr>
      <w:spacing w:before="240" w:after="60"/>
      <w:outlineLvl w:val="2"/>
    </w:pPr>
    <w:rPr>
      <w:b/>
      <w:sz w:val="26"/>
      <w:lang w:val="es-ES" w:eastAsia="es-ES"/>
    </w:rPr>
  </w:style>
  <w:style w:type="paragraph" w:styleId="Ttulo4">
    <w:name w:val="heading 4"/>
    <w:basedOn w:val="Normal"/>
    <w:next w:val="Normal"/>
    <w:link w:val="Ttulo4Car"/>
    <w:uiPriority w:val="99"/>
    <w:qFormat/>
    <w:rsid w:val="00AB0460"/>
    <w:pPr>
      <w:keepNext/>
      <w:numPr>
        <w:ilvl w:val="3"/>
        <w:numId w:val="9"/>
      </w:numPr>
      <w:spacing w:before="240" w:after="60"/>
      <w:outlineLvl w:val="3"/>
    </w:pPr>
    <w:rPr>
      <w:sz w:val="28"/>
      <w:lang w:val="es-ES" w:eastAsia="es-ES"/>
    </w:rPr>
  </w:style>
  <w:style w:type="paragraph" w:styleId="Ttulo5">
    <w:name w:val="heading 5"/>
    <w:basedOn w:val="Normal"/>
    <w:next w:val="Normal"/>
    <w:link w:val="Ttulo5Car"/>
    <w:uiPriority w:val="99"/>
    <w:qFormat/>
    <w:rsid w:val="00AB0460"/>
    <w:pPr>
      <w:numPr>
        <w:ilvl w:val="4"/>
        <w:numId w:val="9"/>
      </w:numPr>
      <w:spacing w:before="240" w:after="60"/>
      <w:outlineLvl w:val="4"/>
    </w:pPr>
    <w:rPr>
      <w:rFonts w:ascii="Times New Roman" w:hAnsi="Times New Roman"/>
      <w:b/>
      <w:sz w:val="26"/>
      <w:u w:val="single"/>
      <w:lang w:val="es-ES" w:eastAsia="es-ES"/>
    </w:rPr>
  </w:style>
  <w:style w:type="paragraph" w:styleId="Ttulo6">
    <w:name w:val="heading 6"/>
    <w:basedOn w:val="Normal"/>
    <w:link w:val="Ttulo6Car"/>
    <w:uiPriority w:val="99"/>
    <w:qFormat/>
    <w:rsid w:val="00AB0460"/>
    <w:pPr>
      <w:numPr>
        <w:ilvl w:val="5"/>
        <w:numId w:val="9"/>
      </w:numPr>
      <w:spacing w:before="100" w:beforeAutospacing="1" w:after="100" w:afterAutospacing="1"/>
      <w:outlineLvl w:val="5"/>
    </w:pPr>
    <w:rPr>
      <w:rFonts w:ascii="Times New Roman" w:hAnsi="Times New Roman"/>
      <w:b/>
      <w:sz w:val="15"/>
      <w:lang w:val="es-ES" w:eastAsia="es-ES"/>
    </w:rPr>
  </w:style>
  <w:style w:type="paragraph" w:styleId="Ttulo7">
    <w:name w:val="heading 7"/>
    <w:basedOn w:val="Normal"/>
    <w:next w:val="Normal"/>
    <w:link w:val="Ttulo7Car"/>
    <w:uiPriority w:val="99"/>
    <w:qFormat/>
    <w:rsid w:val="00AB0460"/>
    <w:pPr>
      <w:numPr>
        <w:ilvl w:val="6"/>
        <w:numId w:val="9"/>
      </w:numPr>
      <w:spacing w:before="240" w:after="60"/>
      <w:outlineLvl w:val="6"/>
    </w:pPr>
    <w:rPr>
      <w:rFonts w:ascii="Times New Roman" w:hAnsi="Times New Roman"/>
      <w:sz w:val="24"/>
      <w:lang w:val="es-ES" w:eastAsia="es-ES"/>
    </w:rPr>
  </w:style>
  <w:style w:type="paragraph" w:styleId="Ttulo8">
    <w:name w:val="heading 8"/>
    <w:basedOn w:val="Normal"/>
    <w:next w:val="Normal"/>
    <w:link w:val="Ttulo8Car"/>
    <w:uiPriority w:val="99"/>
    <w:qFormat/>
    <w:rsid w:val="00AB0460"/>
    <w:pPr>
      <w:numPr>
        <w:ilvl w:val="7"/>
        <w:numId w:val="9"/>
      </w:numPr>
      <w:spacing w:before="240" w:after="60"/>
      <w:outlineLvl w:val="7"/>
    </w:pPr>
    <w:rPr>
      <w:rFonts w:ascii="Times New Roman" w:hAnsi="Times New Roman"/>
      <w:i/>
      <w:sz w:val="24"/>
      <w:lang w:val="es-ES" w:eastAsia="es-ES"/>
    </w:rPr>
  </w:style>
  <w:style w:type="paragraph" w:styleId="Ttulo9">
    <w:name w:val="heading 9"/>
    <w:basedOn w:val="Normal"/>
    <w:next w:val="Normal"/>
    <w:link w:val="Ttulo9Car"/>
    <w:uiPriority w:val="99"/>
    <w:qFormat/>
    <w:rsid w:val="00AB0460"/>
    <w:pPr>
      <w:numPr>
        <w:ilvl w:val="8"/>
        <w:numId w:val="9"/>
      </w:numPr>
      <w:spacing w:before="240" w:after="60"/>
      <w:outlineLvl w:val="8"/>
    </w:pPr>
    <w:rPr>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AF038A"/>
    <w:rPr>
      <w:rFonts w:ascii="Arial" w:hAnsi="Arial" w:cs="Times New Roman"/>
      <w:b/>
      <w:kern w:val="32"/>
      <w:sz w:val="32"/>
      <w:lang w:val="es-ES" w:eastAsia="es-ES"/>
    </w:rPr>
  </w:style>
  <w:style w:type="character" w:customStyle="1" w:styleId="Ttulo2Car">
    <w:name w:val="Título 2 Car"/>
    <w:link w:val="Ttulo2"/>
    <w:uiPriority w:val="99"/>
    <w:locked/>
    <w:rsid w:val="00AF038A"/>
    <w:rPr>
      <w:rFonts w:ascii="Arial" w:hAnsi="Arial" w:cs="Times New Roman"/>
      <w:b/>
      <w:sz w:val="28"/>
      <w:lang w:val="es-ES" w:eastAsia="es-ES"/>
    </w:rPr>
  </w:style>
  <w:style w:type="character" w:customStyle="1" w:styleId="Ttulo3Car">
    <w:name w:val="Título 3 Car"/>
    <w:link w:val="Ttulo3"/>
    <w:uiPriority w:val="99"/>
    <w:locked/>
    <w:rsid w:val="00AB0460"/>
    <w:rPr>
      <w:rFonts w:ascii="Arial" w:hAnsi="Arial" w:cs="Times New Roman"/>
      <w:b/>
      <w:sz w:val="26"/>
      <w:lang w:val="es-ES" w:eastAsia="es-ES"/>
    </w:rPr>
  </w:style>
  <w:style w:type="character" w:customStyle="1" w:styleId="Ttulo4Car">
    <w:name w:val="Título 4 Car"/>
    <w:link w:val="Ttulo4"/>
    <w:uiPriority w:val="99"/>
    <w:locked/>
    <w:rsid w:val="00AB0460"/>
    <w:rPr>
      <w:rFonts w:ascii="Arial" w:hAnsi="Arial" w:cs="Times New Roman"/>
      <w:sz w:val="28"/>
      <w:lang w:val="es-ES" w:eastAsia="es-ES"/>
    </w:rPr>
  </w:style>
  <w:style w:type="character" w:customStyle="1" w:styleId="Ttulo5Car">
    <w:name w:val="Título 5 Car"/>
    <w:link w:val="Ttulo5"/>
    <w:uiPriority w:val="99"/>
    <w:locked/>
    <w:rsid w:val="00AB0460"/>
    <w:rPr>
      <w:rFonts w:cs="Times New Roman"/>
      <w:b/>
      <w:sz w:val="26"/>
      <w:u w:val="single"/>
      <w:lang w:val="es-ES" w:eastAsia="es-ES"/>
    </w:rPr>
  </w:style>
  <w:style w:type="character" w:customStyle="1" w:styleId="Ttulo6Car">
    <w:name w:val="Título 6 Car"/>
    <w:link w:val="Ttulo6"/>
    <w:uiPriority w:val="99"/>
    <w:locked/>
    <w:rsid w:val="00AB0460"/>
    <w:rPr>
      <w:rFonts w:cs="Times New Roman"/>
      <w:b/>
      <w:sz w:val="15"/>
      <w:lang w:val="es-ES" w:eastAsia="es-ES"/>
    </w:rPr>
  </w:style>
  <w:style w:type="character" w:customStyle="1" w:styleId="Ttulo7Car">
    <w:name w:val="Título 7 Car"/>
    <w:link w:val="Ttulo7"/>
    <w:uiPriority w:val="99"/>
    <w:locked/>
    <w:rsid w:val="00AB0460"/>
    <w:rPr>
      <w:rFonts w:cs="Times New Roman"/>
      <w:sz w:val="24"/>
      <w:lang w:val="es-ES" w:eastAsia="es-ES"/>
    </w:rPr>
  </w:style>
  <w:style w:type="character" w:customStyle="1" w:styleId="Ttulo8Car">
    <w:name w:val="Título 8 Car"/>
    <w:link w:val="Ttulo8"/>
    <w:uiPriority w:val="99"/>
    <w:locked/>
    <w:rsid w:val="00AB0460"/>
    <w:rPr>
      <w:rFonts w:cs="Times New Roman"/>
      <w:i/>
      <w:sz w:val="24"/>
      <w:lang w:val="es-ES" w:eastAsia="es-ES"/>
    </w:rPr>
  </w:style>
  <w:style w:type="character" w:customStyle="1" w:styleId="Ttulo9Car">
    <w:name w:val="Título 9 Car"/>
    <w:link w:val="Ttulo9"/>
    <w:uiPriority w:val="99"/>
    <w:locked/>
    <w:rsid w:val="00AB0460"/>
    <w:rPr>
      <w:rFonts w:ascii="Arial" w:hAnsi="Arial" w:cs="Times New Roman"/>
      <w:sz w:val="22"/>
      <w:lang w:val="es-ES" w:eastAsia="es-ES"/>
    </w:rPr>
  </w:style>
  <w:style w:type="character" w:styleId="Refdecomentario">
    <w:name w:val="annotation reference"/>
    <w:uiPriority w:val="99"/>
    <w:rsid w:val="00AF038A"/>
    <w:rPr>
      <w:rFonts w:cs="Times New Roman"/>
      <w:sz w:val="16"/>
    </w:rPr>
  </w:style>
  <w:style w:type="paragraph" w:styleId="Encabezado">
    <w:name w:val="header"/>
    <w:basedOn w:val="Normal"/>
    <w:link w:val="EncabezadoCar"/>
    <w:uiPriority w:val="99"/>
    <w:rsid w:val="00E31FE3"/>
    <w:pPr>
      <w:tabs>
        <w:tab w:val="center" w:pos="4419"/>
        <w:tab w:val="right" w:pos="8838"/>
      </w:tabs>
    </w:pPr>
  </w:style>
  <w:style w:type="character" w:customStyle="1" w:styleId="EncabezadoCar">
    <w:name w:val="Encabezado Car"/>
    <w:link w:val="Encabezado"/>
    <w:uiPriority w:val="99"/>
    <w:locked/>
    <w:rsid w:val="00E31FE3"/>
    <w:rPr>
      <w:rFonts w:ascii="Arial" w:hAnsi="Arial" w:cs="Times New Roman"/>
      <w:sz w:val="18"/>
      <w:lang w:val="es-ES_tradnl"/>
    </w:rPr>
  </w:style>
  <w:style w:type="paragraph" w:styleId="Piedepgina">
    <w:name w:val="footer"/>
    <w:basedOn w:val="Normal"/>
    <w:link w:val="PiedepginaCar"/>
    <w:uiPriority w:val="99"/>
    <w:rsid w:val="00E31FE3"/>
    <w:pPr>
      <w:tabs>
        <w:tab w:val="center" w:pos="4419"/>
        <w:tab w:val="right" w:pos="8838"/>
      </w:tabs>
    </w:pPr>
  </w:style>
  <w:style w:type="character" w:customStyle="1" w:styleId="PiedepginaCar">
    <w:name w:val="Pie de página Car"/>
    <w:link w:val="Piedepgina"/>
    <w:uiPriority w:val="99"/>
    <w:locked/>
    <w:rsid w:val="00E31FE3"/>
    <w:rPr>
      <w:rFonts w:ascii="Arial" w:hAnsi="Arial" w:cs="Times New Roman"/>
      <w:sz w:val="18"/>
      <w:lang w:val="es-ES_tradnl"/>
    </w:rPr>
  </w:style>
  <w:style w:type="character" w:styleId="Nmerodepgina">
    <w:name w:val="page number"/>
    <w:uiPriority w:val="99"/>
    <w:rsid w:val="00E31FE3"/>
    <w:rPr>
      <w:rFonts w:cs="Times New Roman"/>
    </w:rPr>
  </w:style>
  <w:style w:type="paragraph" w:customStyle="1" w:styleId="Encabezadodetabladecontenido1">
    <w:name w:val="Encabezado de tabla de contenido1"/>
    <w:basedOn w:val="Ttulo1"/>
    <w:next w:val="Normal"/>
    <w:uiPriority w:val="99"/>
    <w:semiHidden/>
    <w:rsid w:val="00D55A8D"/>
    <w:pPr>
      <w:keepLines/>
      <w:spacing w:before="480" w:after="0" w:line="276" w:lineRule="auto"/>
      <w:outlineLvl w:val="9"/>
    </w:pPr>
    <w:rPr>
      <w:rFonts w:ascii="Cambria" w:hAnsi="Cambria"/>
      <w:color w:val="365F91"/>
      <w:kern w:val="0"/>
      <w:sz w:val="28"/>
      <w:szCs w:val="28"/>
      <w:lang w:val="es-CO" w:eastAsia="es-CO"/>
    </w:rPr>
  </w:style>
  <w:style w:type="paragraph" w:styleId="TDC1">
    <w:name w:val="toc 1"/>
    <w:basedOn w:val="Normal"/>
    <w:next w:val="Normal"/>
    <w:autoRedefine/>
    <w:uiPriority w:val="39"/>
    <w:rsid w:val="00D55A8D"/>
    <w:pPr>
      <w:tabs>
        <w:tab w:val="right" w:leader="dot" w:pos="8830"/>
      </w:tabs>
      <w:spacing w:before="240" w:after="120"/>
    </w:pPr>
    <w:rPr>
      <w:b/>
      <w:bCs/>
      <w:sz w:val="16"/>
    </w:rPr>
  </w:style>
  <w:style w:type="paragraph" w:styleId="TDC2">
    <w:name w:val="toc 2"/>
    <w:basedOn w:val="Normal"/>
    <w:next w:val="Normal"/>
    <w:autoRedefine/>
    <w:uiPriority w:val="39"/>
    <w:rsid w:val="004F6998"/>
    <w:pPr>
      <w:tabs>
        <w:tab w:val="right" w:leader="dot" w:pos="8830"/>
      </w:tabs>
      <w:ind w:left="180"/>
    </w:pPr>
    <w:rPr>
      <w:iCs/>
      <w:sz w:val="16"/>
    </w:rPr>
  </w:style>
  <w:style w:type="character" w:styleId="Hipervnculo">
    <w:name w:val="Hyperlink"/>
    <w:uiPriority w:val="99"/>
    <w:rsid w:val="00D55A8D"/>
    <w:rPr>
      <w:rFonts w:cs="Times New Roman"/>
      <w:color w:val="0000FF"/>
      <w:u w:val="single"/>
    </w:rPr>
  </w:style>
  <w:style w:type="paragraph" w:styleId="TDC3">
    <w:name w:val="toc 3"/>
    <w:basedOn w:val="Normal"/>
    <w:next w:val="Normal"/>
    <w:autoRedefine/>
    <w:uiPriority w:val="99"/>
    <w:rsid w:val="00D55A8D"/>
    <w:pPr>
      <w:ind w:left="360"/>
      <w:jc w:val="left"/>
    </w:pPr>
    <w:rPr>
      <w:rFonts w:ascii="Calibri" w:hAnsi="Calibri"/>
      <w:sz w:val="20"/>
    </w:rPr>
  </w:style>
  <w:style w:type="paragraph" w:styleId="TDC4">
    <w:name w:val="toc 4"/>
    <w:basedOn w:val="Normal"/>
    <w:next w:val="Normal"/>
    <w:autoRedefine/>
    <w:uiPriority w:val="99"/>
    <w:rsid w:val="00D55A8D"/>
    <w:pPr>
      <w:ind w:left="540"/>
      <w:jc w:val="left"/>
    </w:pPr>
    <w:rPr>
      <w:rFonts w:ascii="Calibri" w:hAnsi="Calibri"/>
      <w:sz w:val="20"/>
    </w:rPr>
  </w:style>
  <w:style w:type="paragraph" w:styleId="TDC5">
    <w:name w:val="toc 5"/>
    <w:basedOn w:val="Normal"/>
    <w:next w:val="Normal"/>
    <w:autoRedefine/>
    <w:uiPriority w:val="99"/>
    <w:rsid w:val="00D55A8D"/>
    <w:pPr>
      <w:ind w:left="720"/>
      <w:jc w:val="left"/>
    </w:pPr>
    <w:rPr>
      <w:rFonts w:ascii="Calibri" w:hAnsi="Calibri"/>
      <w:sz w:val="20"/>
    </w:rPr>
  </w:style>
  <w:style w:type="paragraph" w:styleId="TDC6">
    <w:name w:val="toc 6"/>
    <w:basedOn w:val="Normal"/>
    <w:next w:val="Normal"/>
    <w:autoRedefine/>
    <w:uiPriority w:val="99"/>
    <w:rsid w:val="00D55A8D"/>
    <w:pPr>
      <w:ind w:left="900"/>
      <w:jc w:val="left"/>
    </w:pPr>
    <w:rPr>
      <w:rFonts w:ascii="Calibri" w:hAnsi="Calibri"/>
      <w:sz w:val="20"/>
    </w:rPr>
  </w:style>
  <w:style w:type="paragraph" w:styleId="TDC7">
    <w:name w:val="toc 7"/>
    <w:basedOn w:val="Normal"/>
    <w:next w:val="Normal"/>
    <w:autoRedefine/>
    <w:uiPriority w:val="99"/>
    <w:rsid w:val="00D55A8D"/>
    <w:pPr>
      <w:ind w:left="1080"/>
      <w:jc w:val="left"/>
    </w:pPr>
    <w:rPr>
      <w:rFonts w:ascii="Calibri" w:hAnsi="Calibri"/>
      <w:sz w:val="20"/>
    </w:rPr>
  </w:style>
  <w:style w:type="paragraph" w:styleId="TDC8">
    <w:name w:val="toc 8"/>
    <w:basedOn w:val="Normal"/>
    <w:next w:val="Normal"/>
    <w:autoRedefine/>
    <w:uiPriority w:val="99"/>
    <w:rsid w:val="00D55A8D"/>
    <w:pPr>
      <w:ind w:left="1260"/>
      <w:jc w:val="left"/>
    </w:pPr>
    <w:rPr>
      <w:rFonts w:ascii="Calibri" w:hAnsi="Calibri"/>
      <w:sz w:val="20"/>
    </w:rPr>
  </w:style>
  <w:style w:type="paragraph" w:styleId="TDC9">
    <w:name w:val="toc 9"/>
    <w:basedOn w:val="Normal"/>
    <w:next w:val="Normal"/>
    <w:autoRedefine/>
    <w:uiPriority w:val="99"/>
    <w:rsid w:val="00D55A8D"/>
    <w:pPr>
      <w:ind w:left="1440"/>
      <w:jc w:val="left"/>
    </w:pPr>
    <w:rPr>
      <w:rFonts w:ascii="Calibri" w:hAnsi="Calibri"/>
      <w:sz w:val="20"/>
    </w:rPr>
  </w:style>
  <w:style w:type="paragraph" w:styleId="Textodeglobo">
    <w:name w:val="Balloon Text"/>
    <w:basedOn w:val="Normal"/>
    <w:link w:val="TextodegloboCar"/>
    <w:uiPriority w:val="99"/>
    <w:semiHidden/>
    <w:rsid w:val="00FA5C1F"/>
    <w:rPr>
      <w:rFonts w:ascii="Tahoma" w:hAnsi="Tahoma"/>
      <w:sz w:val="16"/>
    </w:rPr>
  </w:style>
  <w:style w:type="character" w:customStyle="1" w:styleId="TextodegloboCar">
    <w:name w:val="Texto de globo Car"/>
    <w:link w:val="Textodeglobo"/>
    <w:uiPriority w:val="99"/>
    <w:semiHidden/>
    <w:locked/>
    <w:rsid w:val="00FA5C1F"/>
    <w:rPr>
      <w:rFonts w:ascii="Tahoma" w:hAnsi="Tahoma" w:cs="Times New Roman"/>
      <w:sz w:val="16"/>
      <w:lang w:val="es-ES_tradnl" w:eastAsia="es-CO"/>
    </w:rPr>
  </w:style>
  <w:style w:type="paragraph" w:styleId="Textocomentario">
    <w:name w:val="annotation text"/>
    <w:basedOn w:val="Normal"/>
    <w:link w:val="TextocomentarioCar"/>
    <w:uiPriority w:val="99"/>
    <w:semiHidden/>
    <w:rsid w:val="00457431"/>
    <w:rPr>
      <w:sz w:val="24"/>
    </w:rPr>
  </w:style>
  <w:style w:type="character" w:customStyle="1" w:styleId="TextocomentarioCar">
    <w:name w:val="Texto comentario Car"/>
    <w:link w:val="Textocomentario"/>
    <w:uiPriority w:val="99"/>
    <w:semiHidden/>
    <w:locked/>
    <w:rsid w:val="00457431"/>
    <w:rPr>
      <w:rFonts w:ascii="Arial" w:hAnsi="Arial" w:cs="Times New Roman"/>
      <w:sz w:val="24"/>
      <w:lang w:eastAsia="es-CO"/>
    </w:rPr>
  </w:style>
  <w:style w:type="paragraph" w:styleId="Asuntodelcomentario">
    <w:name w:val="annotation subject"/>
    <w:basedOn w:val="Textocomentario"/>
    <w:next w:val="Textocomentario"/>
    <w:link w:val="AsuntodelcomentarioCar"/>
    <w:uiPriority w:val="99"/>
    <w:semiHidden/>
    <w:rsid w:val="00457431"/>
    <w:rPr>
      <w:b/>
    </w:rPr>
  </w:style>
  <w:style w:type="character" w:customStyle="1" w:styleId="AsuntodelcomentarioCar">
    <w:name w:val="Asunto del comentario Car"/>
    <w:link w:val="Asuntodelcomentario"/>
    <w:uiPriority w:val="99"/>
    <w:semiHidden/>
    <w:locked/>
    <w:rsid w:val="00457431"/>
    <w:rPr>
      <w:rFonts w:ascii="Arial" w:hAnsi="Arial" w:cs="Times New Roman"/>
      <w:b/>
      <w:sz w:val="24"/>
      <w:lang w:eastAsia="es-CO"/>
    </w:rPr>
  </w:style>
  <w:style w:type="paragraph" w:customStyle="1" w:styleId="Listaclara-nfasis31">
    <w:name w:val="Lista clara - Énfasis 31"/>
    <w:hidden/>
    <w:uiPriority w:val="99"/>
    <w:semiHidden/>
    <w:rsid w:val="005965B1"/>
    <w:rPr>
      <w:rFonts w:ascii="Arial" w:hAnsi="Arial"/>
      <w:sz w:val="18"/>
      <w:lang w:val="es-ES_tradnl" w:eastAsia="es-CO"/>
    </w:rPr>
  </w:style>
  <w:style w:type="paragraph" w:customStyle="1" w:styleId="Listavistosa-nfasis11">
    <w:name w:val="Lista vistosa - Énfasis 11"/>
    <w:basedOn w:val="Normal"/>
    <w:uiPriority w:val="34"/>
    <w:qFormat/>
    <w:rsid w:val="00B91DF0"/>
    <w:pPr>
      <w:ind w:left="708"/>
      <w:jc w:val="left"/>
    </w:pPr>
    <w:rPr>
      <w:rFonts w:ascii="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622216">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9AB3-C146-4E44-BB59-E42A652C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8485</Words>
  <Characters>46669</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PARTE II</vt:lpstr>
    </vt:vector>
  </TitlesOfParts>
  <Company>Toshiba</Company>
  <LinksUpToDate>false</LinksUpToDate>
  <CharactersWithSpaces>55044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II</dc:title>
  <dc:subject/>
  <dc:creator>Yuri Castañeda</dc:creator>
  <cp:keywords/>
  <cp:lastModifiedBy>Superintendencia Financiera de Colombia</cp:lastModifiedBy>
  <cp:revision>4</cp:revision>
  <dcterms:created xsi:type="dcterms:W3CDTF">2014-08-28T14:20:00Z</dcterms:created>
  <dcterms:modified xsi:type="dcterms:W3CDTF">2014-09-25T12:56:00Z</dcterms:modified>
</cp:coreProperties>
</file>